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A95" w:rsidRDefault="00AC634B" w:rsidP="009B6A95">
      <w:pPr>
        <w:tabs>
          <w:tab w:val="right" w:pos="10000"/>
        </w:tabs>
        <w:spacing w:after="0"/>
        <w:rPr>
          <w:rFonts w:ascii="Arial" w:hAnsi="Arial" w:cs="Arial"/>
          <w:b/>
          <w:sz w:val="24"/>
          <w:szCs w:val="24"/>
        </w:rPr>
      </w:pPr>
      <w:bookmarkStart w:id="0" w:name="_GoBack"/>
      <w:bookmarkEnd w:id="0"/>
      <w:r>
        <w:rPr>
          <w:rFonts w:ascii="Arial" w:hAnsi="Arial" w:cs="Arial"/>
          <w:b/>
          <w:sz w:val="24"/>
          <w:szCs w:val="24"/>
        </w:rPr>
        <w:t>3GPP TSG-RAN WG1 #91</w:t>
      </w:r>
      <w:r w:rsidR="009B6A95">
        <w:rPr>
          <w:rFonts w:ascii="Arial" w:hAnsi="Arial" w:cs="Arial"/>
          <w:b/>
          <w:sz w:val="24"/>
          <w:szCs w:val="24"/>
        </w:rPr>
        <w:tab/>
      </w:r>
      <w:r w:rsidRPr="00AC634B">
        <w:rPr>
          <w:rFonts w:ascii="Arial" w:hAnsi="Arial" w:cs="Arial"/>
          <w:b/>
          <w:sz w:val="24"/>
          <w:szCs w:val="24"/>
        </w:rPr>
        <w:t>R1-1721042</w:t>
      </w:r>
    </w:p>
    <w:p w:rsidR="009B6A95" w:rsidRDefault="00AC634B" w:rsidP="009B6A95">
      <w:pPr>
        <w:tabs>
          <w:tab w:val="right" w:pos="9630"/>
        </w:tabs>
        <w:spacing w:after="0"/>
        <w:jc w:val="both"/>
        <w:rPr>
          <w:rFonts w:ascii="Arial" w:hAnsi="Arial" w:cs="Arial"/>
          <w:b/>
          <w:sz w:val="24"/>
          <w:szCs w:val="24"/>
        </w:rPr>
      </w:pPr>
      <w:r>
        <w:rPr>
          <w:rFonts w:ascii="Arial" w:hAnsi="Arial" w:cs="Arial"/>
          <w:b/>
          <w:sz w:val="24"/>
          <w:szCs w:val="24"/>
        </w:rPr>
        <w:t>27</w:t>
      </w:r>
      <w:r w:rsidR="009B6A95">
        <w:rPr>
          <w:rFonts w:ascii="Arial" w:hAnsi="Arial" w:cs="Arial"/>
          <w:b/>
          <w:sz w:val="24"/>
          <w:szCs w:val="24"/>
          <w:vertAlign w:val="superscript"/>
        </w:rPr>
        <w:t>th</w:t>
      </w:r>
      <w:r w:rsidR="009B6A95">
        <w:rPr>
          <w:rFonts w:ascii="Arial" w:hAnsi="Arial" w:cs="Arial"/>
          <w:b/>
          <w:sz w:val="24"/>
          <w:szCs w:val="24"/>
        </w:rPr>
        <w:t xml:space="preserve"> </w:t>
      </w:r>
      <w:r>
        <w:rPr>
          <w:rFonts w:ascii="Arial" w:hAnsi="Arial" w:cs="Arial"/>
          <w:b/>
          <w:sz w:val="24"/>
          <w:szCs w:val="24"/>
        </w:rPr>
        <w:t>November – 1s</w:t>
      </w:r>
      <w:r>
        <w:rPr>
          <w:rFonts w:ascii="Arial" w:hAnsi="Arial" w:cs="Arial"/>
          <w:b/>
          <w:sz w:val="24"/>
          <w:szCs w:val="24"/>
          <w:vertAlign w:val="superscript"/>
        </w:rPr>
        <w:t>t</w:t>
      </w:r>
      <w:r w:rsidR="009B6A95">
        <w:rPr>
          <w:rFonts w:ascii="Arial" w:hAnsi="Arial" w:cs="Arial"/>
          <w:b/>
          <w:sz w:val="24"/>
          <w:szCs w:val="24"/>
        </w:rPr>
        <w:t xml:space="preserve"> </w:t>
      </w:r>
      <w:r>
        <w:rPr>
          <w:rFonts w:ascii="Arial" w:hAnsi="Arial" w:cs="Arial"/>
          <w:b/>
          <w:sz w:val="24"/>
          <w:szCs w:val="24"/>
        </w:rPr>
        <w:t>December</w:t>
      </w:r>
      <w:r w:rsidR="009B6A95">
        <w:rPr>
          <w:rFonts w:ascii="Arial" w:hAnsi="Arial" w:cs="Arial"/>
          <w:b/>
          <w:sz w:val="24"/>
          <w:szCs w:val="24"/>
        </w:rPr>
        <w:t xml:space="preserve"> 2017</w:t>
      </w:r>
    </w:p>
    <w:p w:rsidR="009B6A95" w:rsidRDefault="00AC634B" w:rsidP="009B6A95">
      <w:pPr>
        <w:tabs>
          <w:tab w:val="right" w:pos="9630"/>
        </w:tabs>
        <w:spacing w:after="0"/>
        <w:jc w:val="both"/>
        <w:rPr>
          <w:rFonts w:ascii="Arial" w:hAnsi="Arial" w:cs="Arial"/>
          <w:b/>
          <w:sz w:val="24"/>
          <w:szCs w:val="24"/>
        </w:rPr>
      </w:pPr>
      <w:r>
        <w:rPr>
          <w:rFonts w:ascii="Arial" w:hAnsi="Arial" w:cs="Arial"/>
          <w:b/>
          <w:sz w:val="24"/>
          <w:szCs w:val="24"/>
        </w:rPr>
        <w:t>Reno</w:t>
      </w:r>
      <w:r w:rsidR="009B6A95">
        <w:rPr>
          <w:rFonts w:ascii="Arial" w:hAnsi="Arial" w:cs="Arial"/>
          <w:b/>
          <w:sz w:val="24"/>
          <w:szCs w:val="24"/>
        </w:rPr>
        <w:t xml:space="preserve">, </w:t>
      </w:r>
      <w:r>
        <w:rPr>
          <w:rFonts w:ascii="Arial" w:hAnsi="Arial" w:cs="Arial"/>
          <w:b/>
          <w:sz w:val="24"/>
          <w:szCs w:val="24"/>
        </w:rPr>
        <w:t>USA.</w:t>
      </w:r>
    </w:p>
    <w:p w:rsidR="009B6A95" w:rsidRDefault="009B6A95" w:rsidP="009B6A95">
      <w:pPr>
        <w:pStyle w:val="Footer"/>
        <w:jc w:val="both"/>
      </w:pPr>
    </w:p>
    <w:p w:rsidR="009B6A95" w:rsidRDefault="009B6A95" w:rsidP="009B6A95">
      <w:pPr>
        <w:tabs>
          <w:tab w:val="left" w:pos="1985"/>
        </w:tabs>
        <w:jc w:val="both"/>
        <w:rPr>
          <w:rFonts w:ascii="Arial" w:hAnsi="Arial"/>
          <w:sz w:val="24"/>
        </w:rPr>
      </w:pPr>
      <w:r>
        <w:rPr>
          <w:rFonts w:ascii="Arial" w:hAnsi="Arial"/>
          <w:b/>
          <w:sz w:val="24"/>
        </w:rPr>
        <w:t>Agenda item:</w:t>
      </w:r>
      <w:r>
        <w:rPr>
          <w:rFonts w:ascii="Arial" w:hAnsi="Arial"/>
          <w:sz w:val="24"/>
        </w:rPr>
        <w:tab/>
      </w:r>
      <w:bookmarkStart w:id="1" w:name="Source"/>
      <w:bookmarkEnd w:id="1"/>
      <w:r w:rsidR="00AC634B" w:rsidRPr="00AC634B">
        <w:rPr>
          <w:rFonts w:ascii="Arial" w:hAnsi="Arial"/>
          <w:sz w:val="24"/>
        </w:rPr>
        <w:t>6.2.6.3.2 </w:t>
      </w:r>
    </w:p>
    <w:p w:rsidR="009B6A95" w:rsidRDefault="009B6A95" w:rsidP="009B6A95">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Center of Excellence in Wireless Technology (</w:t>
      </w:r>
      <w:proofErr w:type="spellStart"/>
      <w:r>
        <w:rPr>
          <w:rFonts w:ascii="Arial" w:hAnsi="Arial"/>
          <w:sz w:val="24"/>
        </w:rPr>
        <w:t>CEWiT</w:t>
      </w:r>
      <w:proofErr w:type="spellEnd"/>
      <w:r>
        <w:rPr>
          <w:rFonts w:ascii="Arial" w:hAnsi="Arial"/>
          <w:sz w:val="24"/>
        </w:rPr>
        <w:t>)</w:t>
      </w:r>
    </w:p>
    <w:p w:rsidR="009B6A95" w:rsidRDefault="009B6A95" w:rsidP="009B6A95">
      <w:pPr>
        <w:ind w:left="1988" w:hanging="1988"/>
        <w:rPr>
          <w:rFonts w:ascii="Arial" w:hAnsi="Arial"/>
          <w:sz w:val="24"/>
        </w:rPr>
      </w:pPr>
      <w:r>
        <w:rPr>
          <w:rFonts w:ascii="Arial" w:hAnsi="Arial"/>
          <w:b/>
          <w:sz w:val="24"/>
        </w:rPr>
        <w:t>Title:</w:t>
      </w:r>
      <w:r>
        <w:rPr>
          <w:rFonts w:ascii="Arial" w:hAnsi="Arial"/>
          <w:sz w:val="24"/>
        </w:rPr>
        <w:t xml:space="preserve"> </w:t>
      </w:r>
      <w:r>
        <w:rPr>
          <w:rFonts w:ascii="Arial" w:hAnsi="Arial"/>
          <w:sz w:val="22"/>
        </w:rPr>
        <w:tab/>
      </w:r>
      <w:r>
        <w:rPr>
          <w:rFonts w:ascii="Arial" w:hAnsi="Arial"/>
          <w:sz w:val="24"/>
        </w:rPr>
        <w:t>NPRACH design aspects for the support of TDD NB-</w:t>
      </w:r>
      <w:proofErr w:type="spellStart"/>
      <w:r>
        <w:rPr>
          <w:rFonts w:ascii="Arial" w:hAnsi="Arial"/>
          <w:sz w:val="24"/>
        </w:rPr>
        <w:t>IoT</w:t>
      </w:r>
      <w:proofErr w:type="spellEnd"/>
    </w:p>
    <w:p w:rsidR="009B6A95" w:rsidRDefault="009B6A95" w:rsidP="009B6A95">
      <w:pPr>
        <w:ind w:left="1988" w:hanging="1988"/>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rsidR="009B6A95" w:rsidRDefault="009B6A95" w:rsidP="009B6A95">
      <w:pPr>
        <w:pStyle w:val="Heading1"/>
        <w:numPr>
          <w:ilvl w:val="255"/>
          <w:numId w:val="0"/>
        </w:numPr>
      </w:pPr>
      <w:r>
        <w:t>1. Introduction</w:t>
      </w:r>
    </w:p>
    <w:p w:rsidR="009B6A95" w:rsidRDefault="009B6A95" w:rsidP="009B6A95">
      <w:pPr>
        <w:pStyle w:val="ListParagraph1"/>
        <w:spacing w:after="180"/>
        <w:ind w:left="0" w:firstLine="420"/>
        <w:jc w:val="both"/>
        <w:rPr>
          <w:rFonts w:ascii="Times New Roman" w:hAnsi="Times New Roman"/>
          <w:sz w:val="20"/>
          <w:szCs w:val="20"/>
        </w:rPr>
      </w:pPr>
      <w:r>
        <w:rPr>
          <w:rFonts w:ascii="Times New Roman" w:hAnsi="Times New Roman"/>
          <w:sz w:val="20"/>
          <w:szCs w:val="20"/>
        </w:rPr>
        <w:t>RAN #76 approved a WI [1] on further NB-</w:t>
      </w:r>
      <w:proofErr w:type="spellStart"/>
      <w:r>
        <w:rPr>
          <w:rFonts w:ascii="Times New Roman" w:hAnsi="Times New Roman"/>
          <w:sz w:val="20"/>
          <w:szCs w:val="20"/>
        </w:rPr>
        <w:t>IoT</w:t>
      </w:r>
      <w:proofErr w:type="spellEnd"/>
      <w:r>
        <w:rPr>
          <w:rFonts w:ascii="Times New Roman" w:hAnsi="Times New Roman"/>
          <w:sz w:val="20"/>
          <w:szCs w:val="20"/>
        </w:rPr>
        <w:t xml:space="preserve"> enhancements. One of the objectives according to WID is to support TDD NB-</w:t>
      </w:r>
      <w:proofErr w:type="spellStart"/>
      <w:r>
        <w:rPr>
          <w:rFonts w:ascii="Times New Roman" w:hAnsi="Times New Roman"/>
          <w:sz w:val="20"/>
          <w:szCs w:val="20"/>
        </w:rPr>
        <w:t>IoT</w:t>
      </w:r>
      <w:proofErr w:type="spellEnd"/>
      <w:r>
        <w:rPr>
          <w:rFonts w:ascii="Times New Roman" w:hAnsi="Times New Roman"/>
          <w:sz w:val="20"/>
          <w:szCs w:val="20"/>
        </w:rPr>
        <w:t xml:space="preserve"> with Rel-13 as baseline design. In RAN1#90 and RAN1#90bis meeting, various agreements were made related to TDD NB-</w:t>
      </w:r>
      <w:proofErr w:type="spellStart"/>
      <w:r>
        <w:rPr>
          <w:rFonts w:ascii="Times New Roman" w:hAnsi="Times New Roman"/>
          <w:sz w:val="20"/>
          <w:szCs w:val="20"/>
        </w:rPr>
        <w:t>IoT</w:t>
      </w:r>
      <w:proofErr w:type="spellEnd"/>
      <w:r>
        <w:rPr>
          <w:rFonts w:ascii="Times New Roman" w:hAnsi="Times New Roman"/>
          <w:sz w:val="20"/>
          <w:szCs w:val="20"/>
        </w:rPr>
        <w:t xml:space="preserve">. Following are the agreements relevant to NPRACH design. </w:t>
      </w:r>
    </w:p>
    <w:p w:rsidR="009B6A95" w:rsidRDefault="009B6A95" w:rsidP="009B6A95">
      <w:pPr>
        <w:tabs>
          <w:tab w:val="left" w:pos="1440"/>
        </w:tabs>
        <w:rPr>
          <w:rFonts w:eastAsia="Calibri"/>
          <w:sz w:val="20"/>
          <w:szCs w:val="20"/>
          <w:lang w:eastAsia="ja-JP"/>
        </w:rPr>
      </w:pPr>
      <w:r>
        <w:rPr>
          <w:szCs w:val="20"/>
          <w:highlight w:val="green"/>
          <w:lang w:eastAsia="ja-JP"/>
        </w:rPr>
        <w:t>Agreements:</w:t>
      </w:r>
      <w:r w:rsidR="00446822">
        <w:rPr>
          <w:szCs w:val="20"/>
          <w:lang w:eastAsia="ja-JP"/>
        </w:rPr>
        <w:t xml:space="preserve"> (</w:t>
      </w:r>
      <w:r w:rsidR="00D301EF">
        <w:rPr>
          <w:szCs w:val="20"/>
          <w:lang w:eastAsia="ja-JP"/>
        </w:rPr>
        <w:t>RAN1 #90</w:t>
      </w:r>
      <w:r w:rsidR="00446822">
        <w:rPr>
          <w:szCs w:val="20"/>
          <w:lang w:eastAsia="ja-JP"/>
        </w:rPr>
        <w:t>)</w:t>
      </w:r>
    </w:p>
    <w:p w:rsidR="009B6A95" w:rsidRDefault="009B6A95" w:rsidP="009B6A95">
      <w:pPr>
        <w:numPr>
          <w:ilvl w:val="0"/>
          <w:numId w:val="2"/>
        </w:numPr>
        <w:spacing w:line="183" w:lineRule="auto"/>
        <w:rPr>
          <w:rFonts w:eastAsia="Calibri"/>
          <w:sz w:val="20"/>
          <w:szCs w:val="20"/>
          <w:lang w:eastAsia="ja-JP"/>
        </w:rPr>
      </w:pPr>
      <w:r>
        <w:rPr>
          <w:rFonts w:eastAsia="Calibri"/>
          <w:sz w:val="20"/>
          <w:szCs w:val="20"/>
          <w:lang w:eastAsia="ja-JP"/>
        </w:rPr>
        <w:t>NPRACH for TDD supports single-tone with frequency hopping</w:t>
      </w:r>
    </w:p>
    <w:p w:rsidR="009B6A95" w:rsidRDefault="009B6A95" w:rsidP="009B6A95">
      <w:pPr>
        <w:numPr>
          <w:ilvl w:val="1"/>
          <w:numId w:val="2"/>
        </w:numPr>
        <w:spacing w:line="183" w:lineRule="auto"/>
        <w:rPr>
          <w:rFonts w:eastAsia="Calibri"/>
          <w:sz w:val="20"/>
          <w:szCs w:val="20"/>
          <w:lang w:eastAsia="ja-JP"/>
        </w:rPr>
      </w:pPr>
      <w:r>
        <w:rPr>
          <w:rFonts w:eastAsia="Calibri"/>
          <w:sz w:val="20"/>
          <w:szCs w:val="20"/>
          <w:lang w:eastAsia="ja-JP"/>
        </w:rPr>
        <w:t>Multi-tone NPRACH formats can also be considered</w:t>
      </w:r>
    </w:p>
    <w:p w:rsidR="009B6A95" w:rsidRDefault="009B6A95" w:rsidP="009B6A95">
      <w:pPr>
        <w:numPr>
          <w:ilvl w:val="1"/>
          <w:numId w:val="2"/>
        </w:numPr>
        <w:spacing w:line="183" w:lineRule="auto"/>
        <w:rPr>
          <w:rFonts w:eastAsia="Calibri"/>
          <w:sz w:val="20"/>
          <w:szCs w:val="20"/>
          <w:lang w:eastAsia="ja-JP"/>
        </w:rPr>
      </w:pPr>
      <w:r>
        <w:rPr>
          <w:rFonts w:eastAsia="Calibri"/>
          <w:sz w:val="20"/>
          <w:szCs w:val="20"/>
          <w:lang w:eastAsia="ja-JP"/>
        </w:rPr>
        <w:t>FFS details of frequency hopping</w:t>
      </w:r>
    </w:p>
    <w:p w:rsidR="009B6A95" w:rsidRDefault="009B6A95" w:rsidP="009B6A95">
      <w:pPr>
        <w:numPr>
          <w:ilvl w:val="0"/>
          <w:numId w:val="2"/>
        </w:numPr>
        <w:spacing w:line="183" w:lineRule="auto"/>
        <w:rPr>
          <w:rFonts w:eastAsia="Calibri"/>
          <w:sz w:val="20"/>
          <w:szCs w:val="20"/>
          <w:lang w:eastAsia="ja-JP"/>
        </w:rPr>
      </w:pPr>
      <w:r>
        <w:rPr>
          <w:rFonts w:eastAsia="Calibri"/>
          <w:sz w:val="20"/>
          <w:szCs w:val="20"/>
          <w:lang w:eastAsia="ja-JP"/>
        </w:rPr>
        <w:t xml:space="preserve">One symbol group is defined by one CP, and N symbols. </w:t>
      </w:r>
    </w:p>
    <w:p w:rsidR="009B6A95" w:rsidRDefault="009B6A95" w:rsidP="009B6A95">
      <w:pPr>
        <w:numPr>
          <w:ilvl w:val="1"/>
          <w:numId w:val="2"/>
        </w:numPr>
        <w:spacing w:line="183" w:lineRule="auto"/>
        <w:rPr>
          <w:rFonts w:eastAsia="Calibri"/>
          <w:sz w:val="20"/>
          <w:szCs w:val="20"/>
          <w:lang w:eastAsia="ja-JP"/>
        </w:rPr>
      </w:pPr>
      <w:r>
        <w:rPr>
          <w:rFonts w:eastAsia="Calibri"/>
          <w:sz w:val="20"/>
          <w:szCs w:val="20"/>
          <w:lang w:eastAsia="ja-JP"/>
        </w:rPr>
        <w:t>FFS the value(s) of N</w:t>
      </w:r>
    </w:p>
    <w:p w:rsidR="009B6A95" w:rsidRDefault="009B6A95" w:rsidP="009B6A95">
      <w:pPr>
        <w:numPr>
          <w:ilvl w:val="1"/>
          <w:numId w:val="2"/>
        </w:numPr>
        <w:spacing w:line="183" w:lineRule="auto"/>
        <w:rPr>
          <w:rFonts w:eastAsia="Calibri"/>
          <w:sz w:val="20"/>
          <w:szCs w:val="20"/>
          <w:lang w:eastAsia="ja-JP"/>
        </w:rPr>
      </w:pPr>
      <w:r>
        <w:rPr>
          <w:rFonts w:eastAsia="Calibri"/>
          <w:sz w:val="20"/>
          <w:szCs w:val="20"/>
          <w:lang w:eastAsia="ja-JP"/>
        </w:rPr>
        <w:t>FFS CP durations, symbol duration</w:t>
      </w:r>
    </w:p>
    <w:p w:rsidR="009B6A95" w:rsidRDefault="009B6A95" w:rsidP="009B6A95">
      <w:pPr>
        <w:numPr>
          <w:ilvl w:val="0"/>
          <w:numId w:val="2"/>
        </w:numPr>
        <w:spacing w:line="183" w:lineRule="auto"/>
        <w:rPr>
          <w:rFonts w:eastAsia="Calibri"/>
          <w:sz w:val="20"/>
          <w:szCs w:val="20"/>
          <w:lang w:eastAsia="ja-JP"/>
        </w:rPr>
      </w:pPr>
      <w:r>
        <w:rPr>
          <w:rFonts w:eastAsia="Calibri"/>
          <w:sz w:val="20"/>
          <w:szCs w:val="20"/>
          <w:lang w:eastAsia="ja-JP"/>
        </w:rPr>
        <w:t>A preamble is defined by P symbol groups</w:t>
      </w:r>
    </w:p>
    <w:p w:rsidR="009B6A95" w:rsidRDefault="009B6A95" w:rsidP="009B6A95">
      <w:pPr>
        <w:numPr>
          <w:ilvl w:val="0"/>
          <w:numId w:val="2"/>
        </w:numPr>
        <w:spacing w:line="183" w:lineRule="auto"/>
        <w:rPr>
          <w:rFonts w:eastAsia="Calibri"/>
          <w:sz w:val="20"/>
          <w:szCs w:val="20"/>
        </w:rPr>
      </w:pPr>
      <w:r>
        <w:rPr>
          <w:rFonts w:eastAsia="Calibri"/>
          <w:sz w:val="20"/>
          <w:szCs w:val="20"/>
          <w:lang w:eastAsia="ja-JP"/>
        </w:rPr>
        <w:t>FFS: Guard time usage</w:t>
      </w:r>
    </w:p>
    <w:p w:rsidR="009B6A95" w:rsidRDefault="009B6A95" w:rsidP="009B6A95">
      <w:pPr>
        <w:numPr>
          <w:ilvl w:val="0"/>
          <w:numId w:val="2"/>
        </w:numPr>
        <w:spacing w:line="183" w:lineRule="auto"/>
        <w:rPr>
          <w:rFonts w:eastAsia="Calibri"/>
          <w:sz w:val="20"/>
          <w:szCs w:val="20"/>
        </w:rPr>
      </w:pPr>
      <w:r>
        <w:rPr>
          <w:rFonts w:eastAsia="Calibri"/>
          <w:sz w:val="20"/>
          <w:szCs w:val="20"/>
          <w:lang w:eastAsia="ja-JP"/>
        </w:rPr>
        <w:t>Repetition of NPRACH preamble is supported</w:t>
      </w:r>
    </w:p>
    <w:p w:rsidR="00446822" w:rsidRPr="00446822" w:rsidRDefault="009B6A95" w:rsidP="00446822">
      <w:pPr>
        <w:numPr>
          <w:ilvl w:val="0"/>
          <w:numId w:val="2"/>
        </w:numPr>
        <w:spacing w:line="183" w:lineRule="auto"/>
        <w:rPr>
          <w:rFonts w:eastAsia="MS Mincho"/>
          <w:lang w:eastAsia="ja-JP"/>
        </w:rPr>
      </w:pPr>
      <w:r>
        <w:rPr>
          <w:rFonts w:eastAsia="Calibri"/>
          <w:sz w:val="20"/>
          <w:szCs w:val="20"/>
          <w:lang w:eastAsia="ja-JP"/>
        </w:rPr>
        <w:t>The cell radius target for TDD NPRACH is FFS</w:t>
      </w:r>
    </w:p>
    <w:p w:rsidR="00446822" w:rsidRPr="001338B8" w:rsidRDefault="00446822" w:rsidP="00446822">
      <w:pPr>
        <w:rPr>
          <w:highlight w:val="green"/>
        </w:rPr>
      </w:pPr>
      <w:r w:rsidRPr="001338B8">
        <w:rPr>
          <w:highlight w:val="green"/>
        </w:rPr>
        <w:t>Agreements:</w:t>
      </w:r>
      <w:r>
        <w:rPr>
          <w:szCs w:val="20"/>
          <w:lang w:eastAsia="ja-JP"/>
        </w:rPr>
        <w:t xml:space="preserve"> (RAN1 #9</w:t>
      </w:r>
      <w:r w:rsidR="00D301EF">
        <w:rPr>
          <w:szCs w:val="20"/>
          <w:lang w:eastAsia="ja-JP"/>
        </w:rPr>
        <w:t>0bis</w:t>
      </w:r>
      <w:r>
        <w:rPr>
          <w:szCs w:val="20"/>
          <w:lang w:eastAsia="ja-JP"/>
        </w:rPr>
        <w:t>)</w:t>
      </w:r>
    </w:p>
    <w:p w:rsidR="00446822" w:rsidRPr="001338B8" w:rsidRDefault="00446822" w:rsidP="00446822">
      <w:pPr>
        <w:numPr>
          <w:ilvl w:val="0"/>
          <w:numId w:val="3"/>
        </w:numPr>
        <w:overflowPunct/>
        <w:autoSpaceDE/>
        <w:autoSpaceDN/>
        <w:adjustRightInd/>
        <w:spacing w:after="0" w:line="240" w:lineRule="auto"/>
        <w:textAlignment w:val="auto"/>
      </w:pPr>
      <w:r w:rsidRPr="001338B8">
        <w:t>TDD NPRACH supports at least 3.75</w:t>
      </w:r>
      <w:r w:rsidR="00986552">
        <w:t xml:space="preserve"> </w:t>
      </w:r>
      <w:r w:rsidRPr="001338B8">
        <w:t>KHz subcarrier spacing single-tone with frequency hopping.</w:t>
      </w:r>
    </w:p>
    <w:p w:rsidR="00446822" w:rsidRPr="001338B8" w:rsidRDefault="00446822" w:rsidP="00446822">
      <w:pPr>
        <w:numPr>
          <w:ilvl w:val="1"/>
          <w:numId w:val="3"/>
        </w:numPr>
        <w:overflowPunct/>
        <w:autoSpaceDE/>
        <w:autoSpaceDN/>
        <w:adjustRightInd/>
        <w:spacing w:after="0" w:line="240" w:lineRule="auto"/>
        <w:textAlignment w:val="auto"/>
      </w:pPr>
      <w:r w:rsidRPr="001338B8">
        <w:t>FFS if also 5 kHz subcarrier spacing is supported e.g. for UL-DL configuration #2</w:t>
      </w:r>
    </w:p>
    <w:p w:rsidR="00446822" w:rsidRPr="001338B8" w:rsidRDefault="00446822" w:rsidP="00446822">
      <w:pPr>
        <w:numPr>
          <w:ilvl w:val="0"/>
          <w:numId w:val="3"/>
        </w:numPr>
        <w:overflowPunct/>
        <w:autoSpaceDE/>
        <w:autoSpaceDN/>
        <w:adjustRightInd/>
        <w:spacing w:after="0" w:line="240" w:lineRule="auto"/>
        <w:textAlignment w:val="auto"/>
      </w:pPr>
      <w:r w:rsidRPr="001338B8">
        <w:t xml:space="preserve">NPRACH formats using G symbol groups with back-to-back transmission followed by a guard time (FFS guard time duration) are supported for 1, 2, and 3 contiguous uplink </w:t>
      </w:r>
      <w:proofErr w:type="spellStart"/>
      <w:r w:rsidRPr="001338B8">
        <w:t>subframes</w:t>
      </w:r>
      <w:proofErr w:type="spellEnd"/>
    </w:p>
    <w:p w:rsidR="00446822" w:rsidRPr="001338B8" w:rsidRDefault="00446822" w:rsidP="00446822">
      <w:pPr>
        <w:numPr>
          <w:ilvl w:val="1"/>
          <w:numId w:val="3"/>
        </w:numPr>
        <w:overflowPunct/>
        <w:autoSpaceDE/>
        <w:autoSpaceDN/>
        <w:adjustRightInd/>
        <w:spacing w:after="0" w:line="240" w:lineRule="auto"/>
        <w:textAlignment w:val="auto"/>
      </w:pPr>
      <w:r w:rsidRPr="001338B8">
        <w:t>An NPRACH format is associated with one value of N (the number of symbols per symbol group) and CP duration</w:t>
      </w:r>
    </w:p>
    <w:p w:rsidR="00446822" w:rsidRPr="001338B8" w:rsidRDefault="00446822" w:rsidP="00446822">
      <w:pPr>
        <w:numPr>
          <w:ilvl w:val="1"/>
          <w:numId w:val="3"/>
        </w:numPr>
        <w:overflowPunct/>
        <w:autoSpaceDE/>
        <w:autoSpaceDN/>
        <w:adjustRightInd/>
        <w:spacing w:after="0" w:line="240" w:lineRule="auto"/>
        <w:textAlignment w:val="auto"/>
      </w:pPr>
      <w:r w:rsidRPr="001338B8">
        <w:t>G is FFS, and G≥2</w:t>
      </w:r>
    </w:p>
    <w:p w:rsidR="00446822" w:rsidRPr="001338B8" w:rsidRDefault="00446822" w:rsidP="00446822">
      <w:pPr>
        <w:numPr>
          <w:ilvl w:val="0"/>
          <w:numId w:val="3"/>
        </w:numPr>
        <w:overflowPunct/>
        <w:autoSpaceDE/>
        <w:autoSpaceDN/>
        <w:adjustRightInd/>
        <w:spacing w:after="0" w:line="240" w:lineRule="auto"/>
        <w:textAlignment w:val="auto"/>
      </w:pPr>
      <w:r w:rsidRPr="001338B8">
        <w:t>P (number of symbol groups in a preamble) is even.</w:t>
      </w:r>
    </w:p>
    <w:p w:rsidR="00446822" w:rsidRPr="001338B8" w:rsidRDefault="00446822" w:rsidP="00446822">
      <w:pPr>
        <w:numPr>
          <w:ilvl w:val="1"/>
          <w:numId w:val="3"/>
        </w:numPr>
        <w:overflowPunct/>
        <w:autoSpaceDE/>
        <w:autoSpaceDN/>
        <w:adjustRightInd/>
        <w:spacing w:after="0" w:line="240" w:lineRule="auto"/>
        <w:textAlignment w:val="auto"/>
      </w:pPr>
      <w:r w:rsidRPr="001338B8">
        <w:t>For the G symbols groups that are transmitted back-to-back with 3.75 kHz subcarrier spacing, 3.75 kHz and 22.5 kHz hopping distances are supported.</w:t>
      </w:r>
    </w:p>
    <w:p w:rsidR="00446822" w:rsidRPr="001338B8" w:rsidRDefault="00446822" w:rsidP="00446822">
      <w:pPr>
        <w:numPr>
          <w:ilvl w:val="2"/>
          <w:numId w:val="3"/>
        </w:numPr>
        <w:overflowPunct/>
        <w:autoSpaceDE/>
        <w:autoSpaceDN/>
        <w:adjustRightInd/>
        <w:spacing w:after="0" w:line="240" w:lineRule="auto"/>
        <w:textAlignment w:val="auto"/>
      </w:pPr>
      <w:r w:rsidRPr="001338B8">
        <w:t>FFS the details of the hopping pattern</w:t>
      </w:r>
    </w:p>
    <w:p w:rsidR="00446822" w:rsidRPr="001338B8" w:rsidRDefault="00446822" w:rsidP="00446822">
      <w:pPr>
        <w:numPr>
          <w:ilvl w:val="2"/>
          <w:numId w:val="3"/>
        </w:numPr>
        <w:overflowPunct/>
        <w:autoSpaceDE/>
        <w:autoSpaceDN/>
        <w:adjustRightInd/>
        <w:spacing w:after="0" w:line="240" w:lineRule="auto"/>
        <w:textAlignment w:val="auto"/>
      </w:pPr>
      <w:r w:rsidRPr="001338B8">
        <w:t>FFS the hopping distance and pattern if 5 kHz subcarrier spacing is supported</w:t>
      </w:r>
    </w:p>
    <w:p w:rsidR="00446822" w:rsidRPr="001338B8" w:rsidRDefault="00446822" w:rsidP="00446822">
      <w:pPr>
        <w:numPr>
          <w:ilvl w:val="1"/>
          <w:numId w:val="3"/>
        </w:numPr>
        <w:overflowPunct/>
        <w:autoSpaceDE/>
        <w:autoSpaceDN/>
        <w:adjustRightInd/>
        <w:spacing w:after="0" w:line="240" w:lineRule="auto"/>
        <w:textAlignment w:val="auto"/>
      </w:pPr>
      <w:r w:rsidRPr="001338B8">
        <w:t>For the hopping between discontinuous transmissions within one preamble</w:t>
      </w:r>
    </w:p>
    <w:p w:rsidR="00446822" w:rsidRPr="001338B8" w:rsidRDefault="00446822" w:rsidP="00446822">
      <w:pPr>
        <w:numPr>
          <w:ilvl w:val="2"/>
          <w:numId w:val="3"/>
        </w:numPr>
        <w:overflowPunct/>
        <w:autoSpaceDE/>
        <w:autoSpaceDN/>
        <w:adjustRightInd/>
        <w:spacing w:after="0" w:line="240" w:lineRule="auto"/>
        <w:textAlignment w:val="auto"/>
      </w:pPr>
      <w:r w:rsidRPr="001338B8">
        <w:t>FFS hopping distance and hopping pattern</w:t>
      </w:r>
    </w:p>
    <w:p w:rsidR="00446822" w:rsidRPr="001338B8" w:rsidRDefault="00446822" w:rsidP="00446822">
      <w:pPr>
        <w:numPr>
          <w:ilvl w:val="0"/>
          <w:numId w:val="3"/>
        </w:numPr>
        <w:overflowPunct/>
        <w:autoSpaceDE/>
        <w:autoSpaceDN/>
        <w:adjustRightInd/>
        <w:spacing w:after="0" w:line="240" w:lineRule="auto"/>
        <w:textAlignment w:val="auto"/>
      </w:pPr>
      <w:r w:rsidRPr="001338B8">
        <w:t>Cell specific pseudo-random hopping is used between NPRACH preamble repetitions</w:t>
      </w:r>
    </w:p>
    <w:p w:rsidR="00446822" w:rsidRPr="00D301EF" w:rsidRDefault="00446822" w:rsidP="00D301EF">
      <w:pPr>
        <w:numPr>
          <w:ilvl w:val="1"/>
          <w:numId w:val="3"/>
        </w:numPr>
        <w:overflowPunct/>
        <w:autoSpaceDE/>
        <w:autoSpaceDN/>
        <w:adjustRightInd/>
        <w:spacing w:after="0" w:line="240" w:lineRule="auto"/>
        <w:textAlignment w:val="auto"/>
      </w:pPr>
      <w:r w:rsidRPr="001338B8">
        <w:t>FFS details</w:t>
      </w:r>
    </w:p>
    <w:p w:rsidR="009B6A95" w:rsidRDefault="009B6A95" w:rsidP="009B6A95">
      <w:pPr>
        <w:jc w:val="both"/>
        <w:rPr>
          <w:i/>
          <w:iCs/>
          <w:lang w:eastAsia="zh-CN"/>
        </w:rPr>
      </w:pPr>
      <w:r>
        <w:lastRenderedPageBreak/>
        <w:t>In this contribution, we discuss the NPRACH design aspects of TDD NB-</w:t>
      </w:r>
      <w:proofErr w:type="spellStart"/>
      <w:r>
        <w:t>IoT</w:t>
      </w:r>
      <w:proofErr w:type="spellEnd"/>
      <w:r>
        <w:t xml:space="preserve"> and analyze the performances of NPRACH designs</w:t>
      </w:r>
      <w:r w:rsidR="005B08BF">
        <w:t xml:space="preserve"> with number of symbols N in a symbol group as 2, 3 and 5</w:t>
      </w:r>
      <w:r>
        <w:t xml:space="preserve">. </w:t>
      </w:r>
    </w:p>
    <w:p w:rsidR="009B6A95" w:rsidRDefault="009B6A95" w:rsidP="009B6A95">
      <w:pPr>
        <w:pStyle w:val="Heading1"/>
        <w:numPr>
          <w:ilvl w:val="255"/>
          <w:numId w:val="0"/>
        </w:numPr>
      </w:pPr>
      <w:r>
        <w:t xml:space="preserve">2. Discussion </w:t>
      </w:r>
    </w:p>
    <w:p w:rsidR="009B6A95" w:rsidRDefault="009B6A95" w:rsidP="009B6A95">
      <w:pPr>
        <w:ind w:firstLine="420"/>
        <w:rPr>
          <w:bCs/>
        </w:rPr>
      </w:pPr>
      <w:r>
        <w:t>The supported operation modes of NB-</w:t>
      </w:r>
      <w:proofErr w:type="spellStart"/>
      <w:r>
        <w:t>IoT</w:t>
      </w:r>
      <w:proofErr w:type="spellEnd"/>
      <w:r>
        <w:t xml:space="preserve"> are in-band, </w:t>
      </w:r>
      <w:r>
        <w:rPr>
          <w:bCs/>
        </w:rPr>
        <w:t xml:space="preserve">guard-band, and standalone. In case of </w:t>
      </w:r>
      <w:r>
        <w:t>in-band/</w:t>
      </w:r>
      <w:r>
        <w:rPr>
          <w:bCs/>
        </w:rPr>
        <w:t>guard-band mode, TDD NB-</w:t>
      </w:r>
      <w:proofErr w:type="spellStart"/>
      <w:r>
        <w:rPr>
          <w:bCs/>
        </w:rPr>
        <w:t>IoT</w:t>
      </w:r>
      <w:proofErr w:type="spellEnd"/>
      <w:r>
        <w:rPr>
          <w:bCs/>
        </w:rPr>
        <w:t xml:space="preserve"> should follow the same UL</w:t>
      </w:r>
      <w:proofErr w:type="gramStart"/>
      <w:r>
        <w:rPr>
          <w:bCs/>
        </w:rPr>
        <w:t>:DL</w:t>
      </w:r>
      <w:proofErr w:type="gramEnd"/>
      <w:r>
        <w:rPr>
          <w:bCs/>
        </w:rPr>
        <w:t xml:space="preserve"> configurations of LTE. A single NPRACH preamble unit in Rel.13 NB-</w:t>
      </w:r>
      <w:proofErr w:type="spellStart"/>
      <w:r>
        <w:rPr>
          <w:bCs/>
        </w:rPr>
        <w:t>IoT</w:t>
      </w:r>
      <w:proofErr w:type="spellEnd"/>
      <w:r>
        <w:rPr>
          <w:bCs/>
        </w:rPr>
        <w:t xml:space="preserve"> takes a time duration of 5.4 </w:t>
      </w:r>
      <w:proofErr w:type="spellStart"/>
      <w:r>
        <w:rPr>
          <w:bCs/>
        </w:rPr>
        <w:t>ms</w:t>
      </w:r>
      <w:proofErr w:type="spellEnd"/>
      <w:r>
        <w:rPr>
          <w:bCs/>
        </w:rPr>
        <w:t xml:space="preserve"> in format 0 and 6.4 </w:t>
      </w:r>
      <w:proofErr w:type="spellStart"/>
      <w:r>
        <w:rPr>
          <w:bCs/>
        </w:rPr>
        <w:t>ms</w:t>
      </w:r>
      <w:proofErr w:type="spellEnd"/>
      <w:r>
        <w:rPr>
          <w:bCs/>
        </w:rPr>
        <w:t xml:space="preserve"> in format 1 [2]. But, the maximum continuous UL resources supported by existing UL</w:t>
      </w:r>
      <w:proofErr w:type="gramStart"/>
      <w:r>
        <w:rPr>
          <w:bCs/>
        </w:rPr>
        <w:t>:DL</w:t>
      </w:r>
      <w:proofErr w:type="gramEnd"/>
      <w:r>
        <w:rPr>
          <w:bCs/>
        </w:rPr>
        <w:t xml:space="preserve"> configurations is 3ms (excluding </w:t>
      </w:r>
      <w:proofErr w:type="spellStart"/>
      <w:r>
        <w:rPr>
          <w:bCs/>
        </w:rPr>
        <w:t>UpPTS</w:t>
      </w:r>
      <w:proofErr w:type="spellEnd"/>
      <w:r>
        <w:rPr>
          <w:bCs/>
        </w:rPr>
        <w:t xml:space="preserve">). So, Rel. 13 NPRACH design </w:t>
      </w:r>
      <w:proofErr w:type="spellStart"/>
      <w:r>
        <w:rPr>
          <w:bCs/>
        </w:rPr>
        <w:t>can not</w:t>
      </w:r>
      <w:proofErr w:type="spellEnd"/>
      <w:r>
        <w:rPr>
          <w:bCs/>
        </w:rPr>
        <w:t xml:space="preserve"> be reused for TDD NB-</w:t>
      </w:r>
      <w:proofErr w:type="spellStart"/>
      <w:r>
        <w:rPr>
          <w:bCs/>
        </w:rPr>
        <w:t>IoT</w:t>
      </w:r>
      <w:proofErr w:type="spellEnd"/>
      <w:r>
        <w:rPr>
          <w:bCs/>
        </w:rPr>
        <w:t>, directly. Therefore, NPRACH design requi</w:t>
      </w:r>
      <w:r w:rsidR="00E1040A">
        <w:rPr>
          <w:bCs/>
        </w:rPr>
        <w:t>res modifications for TDD NB-</w:t>
      </w:r>
      <w:proofErr w:type="spellStart"/>
      <w:r w:rsidR="00E1040A">
        <w:rPr>
          <w:bCs/>
        </w:rPr>
        <w:t>IoT</w:t>
      </w:r>
      <w:proofErr w:type="spellEnd"/>
      <w:r>
        <w:rPr>
          <w:bCs/>
        </w:rPr>
        <w:t xml:space="preserve">. </w:t>
      </w:r>
    </w:p>
    <w:p w:rsidR="009B6A95" w:rsidRDefault="009B6A95" w:rsidP="009B6A95">
      <w:pPr>
        <w:rPr>
          <w:bCs/>
        </w:rPr>
      </w:pPr>
      <w:r>
        <w:rPr>
          <w:bCs/>
        </w:rPr>
        <w:t xml:space="preserve">     NPRACH can be fit into existing UL</w:t>
      </w:r>
      <w:proofErr w:type="gramStart"/>
      <w:r>
        <w:rPr>
          <w:bCs/>
        </w:rPr>
        <w:t>:DL</w:t>
      </w:r>
      <w:proofErr w:type="gramEnd"/>
      <w:r>
        <w:rPr>
          <w:bCs/>
        </w:rPr>
        <w:t xml:space="preserve"> configurations by reducing the time duration of the preamble. This can be done in two ways. Alt. 1</w:t>
      </w:r>
      <w:r w:rsidR="00E1040A">
        <w:rPr>
          <w:bCs/>
        </w:rPr>
        <w:t xml:space="preserve"> is break the preamble into </w:t>
      </w:r>
      <w:r>
        <w:rPr>
          <w:bCs/>
        </w:rPr>
        <w:t>mini preambles</w:t>
      </w:r>
      <w:r w:rsidR="00E1040A">
        <w:rPr>
          <w:bCs/>
        </w:rPr>
        <w:t xml:space="preserve"> (see Fig.1)</w:t>
      </w:r>
      <w:r>
        <w:rPr>
          <w:bCs/>
        </w:rPr>
        <w:t xml:space="preserve"> and transmit them in the consecutive UL reserved transmissions. This alternative is simple and straight forward with minimal changes to the existing design and its properties. </w:t>
      </w:r>
      <w:r>
        <w:rPr>
          <w:bCs/>
          <w:color w:val="000000" w:themeColor="text1"/>
        </w:rPr>
        <w:t>Alt .2 is increase the sub-carrier spacing.</w:t>
      </w:r>
      <w:r>
        <w:rPr>
          <w:bCs/>
        </w:rPr>
        <w:t xml:space="preserve">    </w:t>
      </w:r>
    </w:p>
    <w:p w:rsidR="009B6A95" w:rsidRDefault="009B6A95" w:rsidP="009B6A95">
      <w:pPr>
        <w:jc w:val="center"/>
        <w:rPr>
          <w:b/>
          <w:lang w:val="en-GB" w:eastAsia="zh-CN"/>
        </w:rPr>
      </w:pPr>
    </w:p>
    <w:p w:rsidR="009B6A95" w:rsidRDefault="009B6A95" w:rsidP="009B6A95">
      <w:pPr>
        <w:jc w:val="center"/>
        <w:rPr>
          <w:rFonts w:eastAsia="Times New Roman"/>
          <w:b/>
          <w:bCs/>
          <w:sz w:val="24"/>
          <w:szCs w:val="24"/>
          <w:lang w:val="en-GB" w:eastAsia="zh-CN"/>
        </w:rPr>
      </w:pPr>
      <w:r>
        <w:rPr>
          <w:b/>
          <w:lang w:val="en-GB" w:eastAsia="zh-CN"/>
        </w:rPr>
        <w:t xml:space="preserve">Table </w:t>
      </w:r>
      <w:r>
        <w:rPr>
          <w:b/>
          <w:lang w:eastAsia="zh-CN"/>
        </w:rPr>
        <w:t>1</w:t>
      </w:r>
      <w:r>
        <w:rPr>
          <w:b/>
          <w:lang w:val="en-GB" w:eastAsia="zh-CN"/>
        </w:rPr>
        <w:t>: UL-DL configurations</w:t>
      </w:r>
    </w:p>
    <w:tbl>
      <w:tblPr>
        <w:tblW w:w="9638" w:type="dxa"/>
        <w:jc w:val="center"/>
        <w:tblLayout w:type="fixed"/>
        <w:tblCellMar>
          <w:left w:w="0" w:type="dxa"/>
          <w:right w:w="0" w:type="dxa"/>
        </w:tblCellMar>
        <w:tblLook w:val="04A0" w:firstRow="1" w:lastRow="0" w:firstColumn="1" w:lastColumn="0" w:noHBand="0" w:noVBand="1"/>
      </w:tblPr>
      <w:tblGrid>
        <w:gridCol w:w="2115"/>
        <w:gridCol w:w="2973"/>
        <w:gridCol w:w="456"/>
        <w:gridCol w:w="442"/>
        <w:gridCol w:w="456"/>
        <w:gridCol w:w="457"/>
        <w:gridCol w:w="456"/>
        <w:gridCol w:w="456"/>
        <w:gridCol w:w="456"/>
        <w:gridCol w:w="456"/>
        <w:gridCol w:w="456"/>
        <w:gridCol w:w="459"/>
      </w:tblGrid>
      <w:tr w:rsidR="009B6A95" w:rsidTr="008C5663">
        <w:trPr>
          <w:cantSplit/>
          <w:jc w:val="center"/>
        </w:trPr>
        <w:tc>
          <w:tcPr>
            <w:tcW w:w="2115" w:type="dxa"/>
            <w:vMerge w:val="restart"/>
            <w:tcBorders>
              <w:top w:val="single" w:sz="4" w:space="0" w:color="000000"/>
              <w:left w:val="single" w:sz="4" w:space="0" w:color="000000"/>
              <w:bottom w:val="single" w:sz="4" w:space="0" w:color="000000"/>
              <w:right w:val="nil"/>
            </w:tcBorders>
            <w:shd w:val="clear" w:color="auto" w:fill="E0E0E0"/>
            <w:vAlign w:val="center"/>
          </w:tcPr>
          <w:p w:rsidR="009B6A95" w:rsidRDefault="009B6A95" w:rsidP="008C5663">
            <w:pPr>
              <w:keepNext/>
              <w:keepLines/>
              <w:spacing w:after="0" w:line="240" w:lineRule="auto"/>
              <w:jc w:val="center"/>
              <w:rPr>
                <w:rFonts w:eastAsia="Times New Roman"/>
                <w:b/>
                <w:bCs/>
                <w:szCs w:val="21"/>
                <w:lang w:val="en-GB"/>
              </w:rPr>
            </w:pPr>
            <w:r>
              <w:rPr>
                <w:rFonts w:eastAsia="Times New Roman"/>
                <w:b/>
                <w:bCs/>
                <w:szCs w:val="21"/>
                <w:lang w:val="en-GB"/>
              </w:rPr>
              <w:t xml:space="preserve">UL-DL </w:t>
            </w:r>
          </w:p>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configuration</w:t>
            </w:r>
          </w:p>
        </w:tc>
        <w:tc>
          <w:tcPr>
            <w:tcW w:w="2973" w:type="dxa"/>
            <w:vMerge w:val="restart"/>
            <w:tcBorders>
              <w:top w:val="single" w:sz="4" w:space="0" w:color="000000"/>
              <w:left w:val="single" w:sz="4" w:space="0" w:color="000000"/>
              <w:bottom w:val="single" w:sz="4" w:space="0" w:color="000000"/>
              <w:right w:val="nil"/>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 xml:space="preserve">DL-to-UL </w:t>
            </w:r>
          </w:p>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Switch-point periodicity</w:t>
            </w:r>
          </w:p>
        </w:tc>
        <w:tc>
          <w:tcPr>
            <w:tcW w:w="4550" w:type="dxa"/>
            <w:gridSpan w:val="10"/>
            <w:tcBorders>
              <w:top w:val="single" w:sz="4" w:space="0" w:color="000000"/>
              <w:left w:val="single" w:sz="4" w:space="0" w:color="000000"/>
              <w:bottom w:val="single" w:sz="4" w:space="0" w:color="000000"/>
              <w:right w:val="single" w:sz="4" w:space="0" w:color="000000"/>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Sub-frame number</w:t>
            </w:r>
          </w:p>
        </w:tc>
      </w:tr>
      <w:tr w:rsidR="009B6A95" w:rsidTr="008C5663">
        <w:trPr>
          <w:cantSplit/>
          <w:jc w:val="center"/>
        </w:trPr>
        <w:tc>
          <w:tcPr>
            <w:tcW w:w="2115" w:type="dxa"/>
            <w:vMerge/>
            <w:tcBorders>
              <w:top w:val="single" w:sz="4" w:space="0" w:color="000000"/>
              <w:left w:val="single" w:sz="4" w:space="0" w:color="000000"/>
              <w:bottom w:val="single" w:sz="4" w:space="0" w:color="000000"/>
              <w:right w:val="nil"/>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p>
        </w:tc>
        <w:tc>
          <w:tcPr>
            <w:tcW w:w="2973" w:type="dxa"/>
            <w:vMerge/>
            <w:tcBorders>
              <w:top w:val="single" w:sz="4" w:space="0" w:color="000000"/>
              <w:left w:val="single" w:sz="4" w:space="0" w:color="000000"/>
              <w:bottom w:val="single" w:sz="4" w:space="0" w:color="000000"/>
              <w:right w:val="nil"/>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0</w:t>
            </w:r>
          </w:p>
        </w:tc>
        <w:tc>
          <w:tcPr>
            <w:tcW w:w="442" w:type="dxa"/>
            <w:tcBorders>
              <w:top w:val="single" w:sz="4" w:space="0" w:color="000000"/>
              <w:left w:val="single" w:sz="4" w:space="0" w:color="000000"/>
              <w:bottom w:val="single" w:sz="4" w:space="0" w:color="000000"/>
              <w:right w:val="nil"/>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1</w:t>
            </w: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2</w:t>
            </w:r>
          </w:p>
        </w:tc>
        <w:tc>
          <w:tcPr>
            <w:tcW w:w="457" w:type="dxa"/>
            <w:tcBorders>
              <w:top w:val="single" w:sz="4" w:space="0" w:color="000000"/>
              <w:left w:val="single" w:sz="4" w:space="0" w:color="000000"/>
              <w:bottom w:val="single" w:sz="4" w:space="0" w:color="000000"/>
              <w:right w:val="nil"/>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3</w:t>
            </w: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4</w:t>
            </w: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5</w:t>
            </w: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6</w:t>
            </w: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7</w:t>
            </w: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8</w:t>
            </w:r>
          </w:p>
        </w:tc>
        <w:tc>
          <w:tcPr>
            <w:tcW w:w="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B6A95" w:rsidRDefault="009B6A95" w:rsidP="008C5663">
            <w:pPr>
              <w:keepNext/>
              <w:keepLines/>
              <w:spacing w:after="0" w:line="240" w:lineRule="auto"/>
              <w:jc w:val="center"/>
              <w:rPr>
                <w:rFonts w:eastAsia="Times New Roman"/>
                <w:b/>
                <w:szCs w:val="21"/>
                <w:lang w:val="en-GB"/>
              </w:rPr>
            </w:pPr>
            <w:r>
              <w:rPr>
                <w:rFonts w:eastAsia="Times New Roman"/>
                <w:b/>
                <w:szCs w:val="21"/>
                <w:lang w:val="en-GB"/>
              </w:rPr>
              <w:t>9</w:t>
            </w:r>
          </w:p>
        </w:tc>
      </w:tr>
      <w:tr w:rsidR="009B6A95" w:rsidTr="008C5663">
        <w:trPr>
          <w:cantSplit/>
          <w:jc w:val="center"/>
        </w:trPr>
        <w:tc>
          <w:tcPr>
            <w:tcW w:w="2115"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0</w:t>
            </w:r>
          </w:p>
        </w:tc>
        <w:tc>
          <w:tcPr>
            <w:tcW w:w="2973"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 xml:space="preserve">5 </w:t>
            </w:r>
            <w:proofErr w:type="spellStart"/>
            <w:r>
              <w:rPr>
                <w:rFonts w:eastAsia="Times New Roman"/>
                <w:szCs w:val="21"/>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42"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7"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9" w:type="dxa"/>
            <w:tcBorders>
              <w:top w:val="single" w:sz="4" w:space="0" w:color="000000"/>
              <w:left w:val="single" w:sz="4" w:space="0" w:color="000000"/>
              <w:bottom w:val="single" w:sz="4" w:space="0" w:color="000000"/>
              <w:right w:val="single" w:sz="4" w:space="0" w:color="000000"/>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r>
      <w:tr w:rsidR="009B6A95" w:rsidTr="008C5663">
        <w:trPr>
          <w:cantSplit/>
          <w:jc w:val="center"/>
        </w:trPr>
        <w:tc>
          <w:tcPr>
            <w:tcW w:w="2115"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1</w:t>
            </w:r>
          </w:p>
        </w:tc>
        <w:tc>
          <w:tcPr>
            <w:tcW w:w="2973"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 xml:space="preserve">5 </w:t>
            </w:r>
            <w:proofErr w:type="spellStart"/>
            <w:r>
              <w:rPr>
                <w:rFonts w:eastAsia="Times New Roman"/>
                <w:szCs w:val="21"/>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42"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7"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9" w:type="dxa"/>
            <w:tcBorders>
              <w:top w:val="single" w:sz="4" w:space="0" w:color="000000"/>
              <w:left w:val="single" w:sz="4" w:space="0" w:color="000000"/>
              <w:bottom w:val="single" w:sz="4" w:space="0" w:color="000000"/>
              <w:right w:val="single" w:sz="4" w:space="0" w:color="000000"/>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r>
      <w:tr w:rsidR="009B6A95" w:rsidTr="008C5663">
        <w:trPr>
          <w:cantSplit/>
          <w:jc w:val="center"/>
        </w:trPr>
        <w:tc>
          <w:tcPr>
            <w:tcW w:w="2115"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2</w:t>
            </w:r>
          </w:p>
        </w:tc>
        <w:tc>
          <w:tcPr>
            <w:tcW w:w="2973"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 xml:space="preserve">5 </w:t>
            </w:r>
            <w:proofErr w:type="spellStart"/>
            <w:r>
              <w:rPr>
                <w:rFonts w:eastAsia="Times New Roman"/>
                <w:szCs w:val="21"/>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42"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7"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9" w:type="dxa"/>
            <w:tcBorders>
              <w:top w:val="single" w:sz="4" w:space="0" w:color="000000"/>
              <w:left w:val="single" w:sz="4" w:space="0" w:color="000000"/>
              <w:bottom w:val="single" w:sz="4" w:space="0" w:color="000000"/>
              <w:right w:val="single" w:sz="4" w:space="0" w:color="000000"/>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r>
      <w:tr w:rsidR="009B6A95" w:rsidTr="008C5663">
        <w:trPr>
          <w:cantSplit/>
          <w:jc w:val="center"/>
        </w:trPr>
        <w:tc>
          <w:tcPr>
            <w:tcW w:w="2115"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3</w:t>
            </w:r>
          </w:p>
        </w:tc>
        <w:tc>
          <w:tcPr>
            <w:tcW w:w="2973"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 xml:space="preserve">10 </w:t>
            </w:r>
            <w:proofErr w:type="spellStart"/>
            <w:r>
              <w:rPr>
                <w:rFonts w:eastAsia="Times New Roman"/>
                <w:szCs w:val="21"/>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42"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7"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9" w:type="dxa"/>
            <w:tcBorders>
              <w:top w:val="single" w:sz="4" w:space="0" w:color="000000"/>
              <w:left w:val="single" w:sz="4" w:space="0" w:color="000000"/>
              <w:bottom w:val="single" w:sz="4" w:space="0" w:color="000000"/>
              <w:right w:val="single" w:sz="4" w:space="0" w:color="000000"/>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r>
      <w:tr w:rsidR="009B6A95" w:rsidTr="008C5663">
        <w:trPr>
          <w:cantSplit/>
          <w:jc w:val="center"/>
        </w:trPr>
        <w:tc>
          <w:tcPr>
            <w:tcW w:w="2115"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4</w:t>
            </w:r>
          </w:p>
        </w:tc>
        <w:tc>
          <w:tcPr>
            <w:tcW w:w="2973"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 xml:space="preserve">10 </w:t>
            </w:r>
            <w:proofErr w:type="spellStart"/>
            <w:r>
              <w:rPr>
                <w:rFonts w:eastAsia="Times New Roman"/>
                <w:szCs w:val="21"/>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42"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7"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9" w:type="dxa"/>
            <w:tcBorders>
              <w:top w:val="single" w:sz="4" w:space="0" w:color="000000"/>
              <w:left w:val="single" w:sz="4" w:space="0" w:color="000000"/>
              <w:bottom w:val="single" w:sz="4" w:space="0" w:color="000000"/>
              <w:right w:val="single" w:sz="4" w:space="0" w:color="000000"/>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r>
      <w:tr w:rsidR="009B6A95" w:rsidTr="008C5663">
        <w:trPr>
          <w:cantSplit/>
          <w:jc w:val="center"/>
        </w:trPr>
        <w:tc>
          <w:tcPr>
            <w:tcW w:w="2115"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5</w:t>
            </w:r>
          </w:p>
        </w:tc>
        <w:tc>
          <w:tcPr>
            <w:tcW w:w="2973"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 xml:space="preserve">10 </w:t>
            </w:r>
            <w:proofErr w:type="spellStart"/>
            <w:r>
              <w:rPr>
                <w:rFonts w:eastAsia="Times New Roman"/>
                <w:szCs w:val="21"/>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42"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7"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9" w:type="dxa"/>
            <w:tcBorders>
              <w:top w:val="single" w:sz="4" w:space="0" w:color="000000"/>
              <w:left w:val="single" w:sz="4" w:space="0" w:color="000000"/>
              <w:bottom w:val="single" w:sz="4" w:space="0" w:color="000000"/>
              <w:right w:val="single" w:sz="4" w:space="0" w:color="000000"/>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r>
      <w:tr w:rsidR="009B6A95" w:rsidTr="008C5663">
        <w:trPr>
          <w:cantSplit/>
          <w:jc w:val="center"/>
        </w:trPr>
        <w:tc>
          <w:tcPr>
            <w:tcW w:w="2115"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6</w:t>
            </w:r>
          </w:p>
        </w:tc>
        <w:tc>
          <w:tcPr>
            <w:tcW w:w="2973"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 xml:space="preserve">5 </w:t>
            </w:r>
            <w:proofErr w:type="spellStart"/>
            <w:r>
              <w:rPr>
                <w:rFonts w:eastAsia="Times New Roman"/>
                <w:szCs w:val="21"/>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42"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7"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U</w:t>
            </w:r>
          </w:p>
        </w:tc>
        <w:tc>
          <w:tcPr>
            <w:tcW w:w="459" w:type="dxa"/>
            <w:tcBorders>
              <w:top w:val="single" w:sz="4" w:space="0" w:color="000000"/>
              <w:left w:val="single" w:sz="4" w:space="0" w:color="000000"/>
              <w:bottom w:val="single" w:sz="4" w:space="0" w:color="000000"/>
              <w:right w:val="single" w:sz="4" w:space="0" w:color="000000"/>
            </w:tcBorders>
            <w:vAlign w:val="center"/>
          </w:tcPr>
          <w:p w:rsidR="009B6A95" w:rsidRDefault="009B6A95" w:rsidP="008C5663">
            <w:pPr>
              <w:keepNext/>
              <w:keepLines/>
              <w:spacing w:after="0" w:line="240" w:lineRule="auto"/>
              <w:jc w:val="center"/>
              <w:rPr>
                <w:rFonts w:eastAsia="Times New Roman"/>
                <w:szCs w:val="21"/>
                <w:lang w:val="en-GB"/>
              </w:rPr>
            </w:pPr>
            <w:r>
              <w:rPr>
                <w:rFonts w:eastAsia="Times New Roman"/>
                <w:szCs w:val="21"/>
                <w:lang w:val="en-GB"/>
              </w:rPr>
              <w:t>D</w:t>
            </w:r>
          </w:p>
        </w:tc>
      </w:tr>
    </w:tbl>
    <w:p w:rsidR="009B6A95" w:rsidRDefault="009B6A95" w:rsidP="009B6A95">
      <w:pPr>
        <w:rPr>
          <w:bCs/>
        </w:rPr>
      </w:pPr>
    </w:p>
    <w:p w:rsidR="009B6A95" w:rsidRDefault="009B6A95" w:rsidP="009B6A95">
      <w:pPr>
        <w:ind w:firstLine="420"/>
        <w:rPr>
          <w:bCs/>
        </w:rPr>
      </w:pPr>
      <w:r>
        <w:rPr>
          <w:bCs/>
        </w:rPr>
        <w:t xml:space="preserve">The performance of NPRACH is directly proportional to the number of symbols used in preamble. Also, to support large cell sizes, it is desired that NPRACH transmission should completely make use of available UL resources including </w:t>
      </w:r>
      <w:proofErr w:type="spellStart"/>
      <w:r>
        <w:rPr>
          <w:bCs/>
        </w:rPr>
        <w:t>UpPTS</w:t>
      </w:r>
      <w:proofErr w:type="spellEnd"/>
      <w:r>
        <w:rPr>
          <w:bCs/>
        </w:rPr>
        <w:t xml:space="preserve"> symbols. </w:t>
      </w:r>
    </w:p>
    <w:p w:rsidR="009B6A95" w:rsidRDefault="009B6A95" w:rsidP="009B6A95">
      <w:pPr>
        <w:rPr>
          <w:bCs/>
        </w:rPr>
      </w:pPr>
      <w:r>
        <w:rPr>
          <w:b/>
          <w:u w:val="single"/>
        </w:rPr>
        <w:t>Proposal 1:</w:t>
      </w:r>
      <w:r>
        <w:rPr>
          <w:bCs/>
        </w:rPr>
        <w:t xml:space="preserve"> </w:t>
      </w:r>
      <w:proofErr w:type="spellStart"/>
      <w:r>
        <w:rPr>
          <w:b/>
        </w:rPr>
        <w:t>UpPTS</w:t>
      </w:r>
      <w:proofErr w:type="spellEnd"/>
      <w:r>
        <w:rPr>
          <w:b/>
        </w:rPr>
        <w:t xml:space="preserve"> symbols can be used for NPRACH transmission.</w:t>
      </w:r>
    </w:p>
    <w:p w:rsidR="009B6A95" w:rsidRDefault="009B6A95" w:rsidP="009B6A95">
      <w:pPr>
        <w:rPr>
          <w:bCs/>
        </w:rPr>
      </w:pPr>
      <w:r>
        <w:rPr>
          <w:bCs/>
        </w:rPr>
        <w:lastRenderedPageBreak/>
        <w:t xml:space="preserve">       </w:t>
      </w:r>
      <w:r>
        <w:rPr>
          <w:bCs/>
          <w:noProof/>
        </w:rPr>
        <w:drawing>
          <wp:inline distT="0" distB="0" distL="114300" distR="114300" wp14:anchorId="71CC757A" wp14:editId="4BC3B3B8">
            <wp:extent cx="6327775" cy="3335655"/>
            <wp:effectExtent l="0" t="0" r="15875" b="17145"/>
            <wp:docPr id="1" name="Picture 1"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19"/>
                    <pic:cNvPicPr>
                      <a:picLocks noChangeAspect="1"/>
                    </pic:cNvPicPr>
                  </pic:nvPicPr>
                  <pic:blipFill>
                    <a:blip r:embed="rId7"/>
                    <a:stretch>
                      <a:fillRect/>
                    </a:stretch>
                  </pic:blipFill>
                  <pic:spPr>
                    <a:xfrm>
                      <a:off x="0" y="0"/>
                      <a:ext cx="6327775" cy="3335655"/>
                    </a:xfrm>
                    <a:prstGeom prst="rect">
                      <a:avLst/>
                    </a:prstGeom>
                  </pic:spPr>
                </pic:pic>
              </a:graphicData>
            </a:graphic>
          </wp:inline>
        </w:drawing>
      </w:r>
    </w:p>
    <w:p w:rsidR="009B6A95" w:rsidRDefault="009B6A95" w:rsidP="009B6A95">
      <w:pPr>
        <w:jc w:val="center"/>
        <w:rPr>
          <w:rFonts w:eastAsia="Times New Roman"/>
          <w:b/>
          <w:bCs/>
          <w:sz w:val="24"/>
          <w:szCs w:val="24"/>
          <w:lang w:val="en-GB" w:eastAsia="zh-CN"/>
        </w:rPr>
      </w:pPr>
      <w:r>
        <w:rPr>
          <w:rFonts w:eastAsia="Times New Roman"/>
          <w:b/>
          <w:bCs/>
          <w:sz w:val="24"/>
          <w:szCs w:val="24"/>
          <w:lang w:val="en-GB" w:eastAsia="zh-CN"/>
        </w:rPr>
        <w:t xml:space="preserve">Fig </w:t>
      </w:r>
      <w:r>
        <w:rPr>
          <w:rFonts w:eastAsia="Times New Roman"/>
          <w:b/>
          <w:bCs/>
          <w:sz w:val="24"/>
          <w:szCs w:val="24"/>
          <w:lang w:eastAsia="zh-CN"/>
        </w:rPr>
        <w:t>1</w:t>
      </w:r>
      <w:r>
        <w:rPr>
          <w:rFonts w:eastAsia="Times New Roman"/>
          <w:b/>
          <w:bCs/>
          <w:sz w:val="24"/>
          <w:szCs w:val="24"/>
          <w:lang w:val="en-GB" w:eastAsia="zh-CN"/>
        </w:rPr>
        <w:t>: Transmission of mini preambles</w:t>
      </w:r>
    </w:p>
    <w:p w:rsidR="009B6A95" w:rsidRDefault="00D301EF" w:rsidP="009B6A95">
      <w:pPr>
        <w:rPr>
          <w:b/>
          <w:sz w:val="24"/>
          <w:szCs w:val="24"/>
          <w:u w:val="single"/>
        </w:rPr>
      </w:pPr>
      <w:r>
        <w:rPr>
          <w:b/>
          <w:sz w:val="24"/>
          <w:szCs w:val="24"/>
          <w:u w:val="single"/>
        </w:rPr>
        <w:t>2.1</w:t>
      </w:r>
      <w:r w:rsidR="009B6A95">
        <w:rPr>
          <w:b/>
          <w:sz w:val="24"/>
          <w:szCs w:val="24"/>
          <w:u w:val="single"/>
        </w:rPr>
        <w:t>. Symbol Group size:</w:t>
      </w:r>
    </w:p>
    <w:p w:rsidR="009B6A95" w:rsidRDefault="009B6A95" w:rsidP="009B6A95">
      <w:pPr>
        <w:rPr>
          <w:bCs/>
        </w:rPr>
      </w:pPr>
      <w:r>
        <w:rPr>
          <w:bCs/>
        </w:rPr>
        <w:t>Let ‘N’ be the number of symbols in symbol group. In Rel. 13 NB-</w:t>
      </w:r>
      <w:proofErr w:type="spellStart"/>
      <w:r>
        <w:rPr>
          <w:bCs/>
        </w:rPr>
        <w:t>IoT</w:t>
      </w:r>
      <w:proofErr w:type="spellEnd"/>
      <w:r>
        <w:rPr>
          <w:bCs/>
        </w:rPr>
        <w:t>, the value of N is 5. All UL</w:t>
      </w:r>
      <w:proofErr w:type="gramStart"/>
      <w:r>
        <w:rPr>
          <w:bCs/>
        </w:rPr>
        <w:t>:DL</w:t>
      </w:r>
      <w:proofErr w:type="gramEnd"/>
      <w:r>
        <w:rPr>
          <w:bCs/>
        </w:rPr>
        <w:t xml:space="preserve"> configurations can’t support N=5. The bigger the value of N, the better the NPRACH performance. In TDD NB-</w:t>
      </w:r>
      <w:proofErr w:type="spellStart"/>
      <w:r>
        <w:rPr>
          <w:bCs/>
        </w:rPr>
        <w:t>IoT</w:t>
      </w:r>
      <w:proofErr w:type="spellEnd"/>
      <w:r>
        <w:rPr>
          <w:bCs/>
        </w:rPr>
        <w:t xml:space="preserve"> case, UL</w:t>
      </w:r>
      <w:proofErr w:type="gramStart"/>
      <w:r>
        <w:rPr>
          <w:bCs/>
        </w:rPr>
        <w:t>:DL</w:t>
      </w:r>
      <w:proofErr w:type="gramEnd"/>
      <w:r>
        <w:rPr>
          <w:bCs/>
        </w:rPr>
        <w:t xml:space="preserve"> configurations limit the value of </w:t>
      </w:r>
      <w:r w:rsidR="00283B40">
        <w:rPr>
          <w:bCs/>
        </w:rPr>
        <w:t>N.</w:t>
      </w:r>
    </w:p>
    <w:p w:rsidR="009B6A95" w:rsidRDefault="009B6A95" w:rsidP="009B6A95">
      <w:pPr>
        <w:rPr>
          <w:b/>
          <w:u w:val="single"/>
        </w:rPr>
      </w:pPr>
      <w:r>
        <w:rPr>
          <w:b/>
          <w:u w:val="single"/>
        </w:rPr>
        <w:t>N=2:</w:t>
      </w:r>
    </w:p>
    <w:p w:rsidR="009B6A95" w:rsidRDefault="009B6A95" w:rsidP="009B6A95">
      <w:pPr>
        <w:rPr>
          <w:bCs/>
        </w:rPr>
      </w:pPr>
      <w:r>
        <w:rPr>
          <w:bCs/>
        </w:rPr>
        <w:t xml:space="preserve">In this case, a symbol group can be fit with in a </w:t>
      </w:r>
      <w:proofErr w:type="spellStart"/>
      <w:r>
        <w:rPr>
          <w:bCs/>
        </w:rPr>
        <w:t>subframe</w:t>
      </w:r>
      <w:proofErr w:type="spellEnd"/>
      <w:r>
        <w:rPr>
          <w:bCs/>
        </w:rPr>
        <w:t>. To support large cell size CP length is made bigger in NPRACH and it is comparable to symbol duration. CP overhead is more because only two symbols are used. Also, NPRACH latency will be increased as preamble has to be repeated more number of times in order to meet the MCL requirements.</w:t>
      </w:r>
    </w:p>
    <w:p w:rsidR="009B6A95" w:rsidRDefault="009B6A95" w:rsidP="009B6A95">
      <w:pPr>
        <w:rPr>
          <w:bCs/>
        </w:rPr>
      </w:pPr>
      <w:r>
        <w:rPr>
          <w:b/>
          <w:u w:val="single"/>
        </w:rPr>
        <w:t>N=3:</w:t>
      </w:r>
    </w:p>
    <w:p w:rsidR="009B6A95" w:rsidRDefault="009B6A95" w:rsidP="009B6A95">
      <w:pPr>
        <w:rPr>
          <w:bCs/>
        </w:rPr>
      </w:pPr>
      <w:r>
        <w:rPr>
          <w:bCs/>
        </w:rPr>
        <w:t xml:space="preserve">In this case, a mini preamble with two symbol groups can be fit in two consecutive UL </w:t>
      </w:r>
      <w:proofErr w:type="spellStart"/>
      <w:r>
        <w:rPr>
          <w:bCs/>
        </w:rPr>
        <w:t>subframes</w:t>
      </w:r>
      <w:proofErr w:type="spellEnd"/>
      <w:r>
        <w:rPr>
          <w:bCs/>
        </w:rPr>
        <w:t>. Compared to N=2 case, CP overhead is moderate and also sufficient guard period can be accommodated for supporting large cell size.</w:t>
      </w:r>
    </w:p>
    <w:p w:rsidR="009B6A95" w:rsidRDefault="009B6A95" w:rsidP="009B6A95">
      <w:pPr>
        <w:rPr>
          <w:b/>
          <w:u w:val="single"/>
        </w:rPr>
      </w:pPr>
      <w:r>
        <w:rPr>
          <w:b/>
          <w:u w:val="single"/>
        </w:rPr>
        <w:t>N=5:</w:t>
      </w:r>
    </w:p>
    <w:p w:rsidR="009B6A95" w:rsidRDefault="009B6A95" w:rsidP="009B6A95">
      <w:pPr>
        <w:rPr>
          <w:bCs/>
        </w:rPr>
      </w:pPr>
      <w:r>
        <w:rPr>
          <w:bCs/>
        </w:rPr>
        <w:t xml:space="preserve">Here, a mini preamble with two symbol groups will occupy three consecutive UL </w:t>
      </w:r>
      <w:proofErr w:type="spellStart"/>
      <w:r>
        <w:rPr>
          <w:bCs/>
        </w:rPr>
        <w:t>subframes</w:t>
      </w:r>
      <w:proofErr w:type="spellEnd"/>
      <w:r>
        <w:rPr>
          <w:bCs/>
        </w:rPr>
        <w:t>. It has less CP overhead compared to above cases and also has sufficient time for guard period to support large cell size.</w:t>
      </w:r>
    </w:p>
    <w:p w:rsidR="009B6A95" w:rsidRDefault="009B6A95" w:rsidP="009B6A95">
      <w:pPr>
        <w:rPr>
          <w:bCs/>
        </w:rPr>
      </w:pPr>
      <w:r>
        <w:rPr>
          <w:bCs/>
        </w:rPr>
        <w:t xml:space="preserve"> </w:t>
      </w:r>
    </w:p>
    <w:p w:rsidR="009B6A95" w:rsidRDefault="00D301EF" w:rsidP="009B6A95">
      <w:pPr>
        <w:rPr>
          <w:b/>
          <w:u w:val="single"/>
        </w:rPr>
      </w:pPr>
      <w:r>
        <w:rPr>
          <w:b/>
          <w:u w:val="single"/>
        </w:rPr>
        <w:t>2.2</w:t>
      </w:r>
      <w:r w:rsidR="009B6A95">
        <w:rPr>
          <w:b/>
          <w:u w:val="single"/>
        </w:rPr>
        <w:t>. TDD NPRACH performance:</w:t>
      </w:r>
    </w:p>
    <w:p w:rsidR="009B6A95" w:rsidRPr="00EB5623" w:rsidRDefault="009B6A95" w:rsidP="00EB5623">
      <w:pPr>
        <w:rPr>
          <w:b/>
          <w:u w:val="single"/>
        </w:rPr>
      </w:pPr>
      <w:r>
        <w:rPr>
          <w:bCs/>
        </w:rPr>
        <w:t>In this section, TDD NPRACH performances are summarized in Tables 3,</w:t>
      </w:r>
      <w:r w:rsidR="00606DE7">
        <w:rPr>
          <w:bCs/>
        </w:rPr>
        <w:t xml:space="preserve"> </w:t>
      </w:r>
      <w:r>
        <w:rPr>
          <w:bCs/>
        </w:rPr>
        <w:t>4 and 5 for N=2,</w:t>
      </w:r>
      <w:r w:rsidR="00C43C03">
        <w:rPr>
          <w:bCs/>
        </w:rPr>
        <w:t xml:space="preserve"> </w:t>
      </w:r>
      <w:r>
        <w:rPr>
          <w:bCs/>
        </w:rPr>
        <w:t>3 and 5 cases respectively.</w:t>
      </w:r>
      <w:bookmarkStart w:id="3" w:name="_Ref438723119"/>
    </w:p>
    <w:p w:rsidR="009B6A95" w:rsidRDefault="009B6A95" w:rsidP="009B6A95">
      <w:pPr>
        <w:jc w:val="center"/>
        <w:rPr>
          <w:rFonts w:eastAsia="Times New Roman"/>
          <w:b/>
          <w:bCs/>
          <w:sz w:val="24"/>
          <w:szCs w:val="24"/>
          <w:lang w:val="en-GB" w:eastAsia="zh-CN"/>
        </w:rPr>
      </w:pPr>
      <w:r>
        <w:rPr>
          <w:rFonts w:eastAsia="Times New Roman"/>
          <w:b/>
          <w:bCs/>
          <w:sz w:val="24"/>
          <w:szCs w:val="24"/>
          <w:lang w:val="en-GB" w:eastAsia="zh-CN"/>
        </w:rPr>
        <w:lastRenderedPageBreak/>
        <w:t xml:space="preserve">Table </w:t>
      </w:r>
      <w:bookmarkEnd w:id="3"/>
      <w:r>
        <w:rPr>
          <w:rFonts w:eastAsia="Times New Roman"/>
          <w:b/>
          <w:bCs/>
          <w:sz w:val="24"/>
          <w:szCs w:val="24"/>
          <w:lang w:eastAsia="zh-CN"/>
        </w:rPr>
        <w:t>2</w:t>
      </w:r>
      <w:r>
        <w:rPr>
          <w:rFonts w:eastAsia="Times New Roman"/>
          <w:b/>
          <w:bCs/>
          <w:sz w:val="24"/>
          <w:szCs w:val="24"/>
          <w:lang w:val="en-GB" w:eastAsia="zh-CN"/>
        </w:rPr>
        <w:t xml:space="preserve">: </w:t>
      </w:r>
      <w:r>
        <w:rPr>
          <w:rFonts w:eastAsia="Times New Roman" w:hint="eastAsia"/>
          <w:b/>
          <w:bCs/>
          <w:sz w:val="24"/>
          <w:szCs w:val="24"/>
          <w:lang w:val="en-GB" w:eastAsia="zh-CN"/>
        </w:rPr>
        <w:t>Simulation assumptions</w:t>
      </w:r>
    </w:p>
    <w:tbl>
      <w:tblPr>
        <w:tblStyle w:val="TableGrid1"/>
        <w:tblpPr w:leftFromText="180" w:rightFromText="180" w:vertAnchor="text" w:horzAnchor="margin" w:tblpXSpec="center" w:tblpY="303"/>
        <w:tblOverlap w:val="never"/>
        <w:tblW w:w="4886" w:type="dxa"/>
        <w:tblLayout w:type="fixed"/>
        <w:tblLook w:val="04A0" w:firstRow="1" w:lastRow="0" w:firstColumn="1" w:lastColumn="0" w:noHBand="0" w:noVBand="1"/>
      </w:tblPr>
      <w:tblGrid>
        <w:gridCol w:w="2614"/>
        <w:gridCol w:w="2272"/>
      </w:tblGrid>
      <w:tr w:rsidR="009B6A95" w:rsidRPr="00CF61E2" w:rsidTr="008C5663">
        <w:trPr>
          <w:trHeight w:val="77"/>
        </w:trPr>
        <w:tc>
          <w:tcPr>
            <w:cnfStyle w:val="000000000100" w:firstRow="0" w:lastRow="0" w:firstColumn="0" w:lastColumn="0" w:oddVBand="0" w:evenVBand="0" w:oddHBand="0" w:evenHBand="0" w:firstRowFirstColumn="1" w:firstRowLastColumn="0" w:lastRowFirstColumn="0" w:lastRowLastColumn="0"/>
            <w:tcW w:w="2614" w:type="dxa"/>
            <w:shd w:val="clear" w:color="auto" w:fill="D9D9D9" w:themeFill="background1" w:themeFillShade="D9"/>
          </w:tcPr>
          <w:p w:rsidR="009B6A95" w:rsidRPr="00CF61E2" w:rsidRDefault="009B6A95" w:rsidP="00CF61E2">
            <w:pPr>
              <w:widowControl w:val="0"/>
              <w:jc w:val="center"/>
              <w:rPr>
                <w:bCs/>
                <w:lang w:eastAsia="en-US"/>
              </w:rPr>
            </w:pPr>
            <w:r w:rsidRPr="00CF61E2">
              <w:rPr>
                <w:bCs/>
                <w:lang w:eastAsia="en-US"/>
              </w:rPr>
              <w:t xml:space="preserve">Parameter </w:t>
            </w:r>
          </w:p>
        </w:tc>
        <w:tc>
          <w:tcPr>
            <w:tcW w:w="2272" w:type="dxa"/>
            <w:shd w:val="clear" w:color="auto" w:fill="D9D9D9" w:themeFill="background1" w:themeFillShade="D9"/>
          </w:tcPr>
          <w:p w:rsidR="009B6A95" w:rsidRPr="00CF61E2" w:rsidRDefault="009B6A95" w:rsidP="00CF61E2">
            <w:pPr>
              <w:widowControl w:val="0"/>
              <w:jc w:val="center"/>
              <w:cnfStyle w:val="000000000000" w:firstRow="0" w:lastRow="0" w:firstColumn="0" w:lastColumn="0" w:oddVBand="0" w:evenVBand="0" w:oddHBand="0" w:evenHBand="0" w:firstRowFirstColumn="0" w:firstRowLastColumn="0" w:lastRowFirstColumn="0" w:lastRowLastColumn="0"/>
              <w:rPr>
                <w:bCs/>
                <w:lang w:eastAsia="en-US"/>
              </w:rPr>
            </w:pPr>
            <w:r w:rsidRPr="00CF61E2">
              <w:rPr>
                <w:bCs/>
                <w:lang w:eastAsia="en-US"/>
              </w:rPr>
              <w:t xml:space="preserve">Value </w:t>
            </w:r>
          </w:p>
        </w:tc>
      </w:tr>
      <w:tr w:rsidR="009B6A95" w:rsidRPr="00CF61E2" w:rsidTr="008C5663">
        <w:trPr>
          <w:trHeight w:val="77"/>
        </w:trPr>
        <w:tc>
          <w:tcPr>
            <w:tcW w:w="2614" w:type="dxa"/>
          </w:tcPr>
          <w:p w:rsidR="009B6A95" w:rsidRPr="00CF61E2" w:rsidRDefault="009B6A95" w:rsidP="00CF61E2">
            <w:pPr>
              <w:widowControl w:val="0"/>
              <w:snapToGrid/>
              <w:spacing w:line="259" w:lineRule="auto"/>
              <w:jc w:val="center"/>
              <w:rPr>
                <w:bCs/>
                <w:lang w:eastAsia="en-US"/>
              </w:rPr>
            </w:pPr>
            <w:r w:rsidRPr="00CF61E2">
              <w:rPr>
                <w:bCs/>
                <w:lang w:eastAsia="en-US"/>
              </w:rPr>
              <w:t xml:space="preserve">Channel model </w:t>
            </w:r>
          </w:p>
        </w:tc>
        <w:tc>
          <w:tcPr>
            <w:tcW w:w="2272" w:type="dxa"/>
          </w:tcPr>
          <w:p w:rsidR="009B6A95" w:rsidRPr="00CF61E2" w:rsidRDefault="009B6A95" w:rsidP="00CF61E2">
            <w:pPr>
              <w:widowControl w:val="0"/>
              <w:snapToGrid/>
              <w:spacing w:line="259" w:lineRule="auto"/>
              <w:jc w:val="center"/>
              <w:rPr>
                <w:bCs/>
                <w:lang w:eastAsia="en-US"/>
              </w:rPr>
            </w:pPr>
            <w:r w:rsidRPr="00CF61E2">
              <w:rPr>
                <w:bCs/>
                <w:lang w:eastAsia="en-US"/>
              </w:rPr>
              <w:t xml:space="preserve">TU </w:t>
            </w:r>
          </w:p>
        </w:tc>
      </w:tr>
      <w:tr w:rsidR="009B6A95" w:rsidRPr="00CF61E2" w:rsidTr="008C5663">
        <w:trPr>
          <w:trHeight w:val="77"/>
        </w:trPr>
        <w:tc>
          <w:tcPr>
            <w:tcW w:w="2614" w:type="dxa"/>
          </w:tcPr>
          <w:p w:rsidR="009B6A95" w:rsidRPr="00CF61E2" w:rsidRDefault="009B6A95" w:rsidP="00CF61E2">
            <w:pPr>
              <w:widowControl w:val="0"/>
              <w:snapToGrid/>
              <w:spacing w:line="259" w:lineRule="auto"/>
              <w:jc w:val="center"/>
              <w:rPr>
                <w:bCs/>
                <w:lang w:eastAsia="en-US"/>
              </w:rPr>
            </w:pPr>
            <w:r w:rsidRPr="00CF61E2">
              <w:rPr>
                <w:bCs/>
                <w:lang w:eastAsia="en-US"/>
              </w:rPr>
              <w:t xml:space="preserve">Doppler spread </w:t>
            </w:r>
          </w:p>
        </w:tc>
        <w:tc>
          <w:tcPr>
            <w:tcW w:w="2272" w:type="dxa"/>
          </w:tcPr>
          <w:p w:rsidR="009B6A95" w:rsidRPr="00CF61E2" w:rsidRDefault="009B6A95" w:rsidP="00CF61E2">
            <w:pPr>
              <w:widowControl w:val="0"/>
              <w:snapToGrid/>
              <w:spacing w:line="259" w:lineRule="auto"/>
              <w:jc w:val="center"/>
              <w:rPr>
                <w:bCs/>
                <w:lang w:eastAsia="en-US"/>
              </w:rPr>
            </w:pPr>
            <w:r w:rsidRPr="00CF61E2">
              <w:rPr>
                <w:bCs/>
                <w:lang w:eastAsia="en-US"/>
              </w:rPr>
              <w:t xml:space="preserve">1 Hz </w:t>
            </w:r>
          </w:p>
        </w:tc>
      </w:tr>
      <w:tr w:rsidR="009B6A95" w:rsidRPr="00CF61E2" w:rsidTr="008C5663">
        <w:trPr>
          <w:trHeight w:val="77"/>
        </w:trPr>
        <w:tc>
          <w:tcPr>
            <w:tcW w:w="2614" w:type="dxa"/>
          </w:tcPr>
          <w:p w:rsidR="009B6A95" w:rsidRPr="00CF61E2" w:rsidRDefault="009B6A95" w:rsidP="00CF61E2">
            <w:pPr>
              <w:widowControl w:val="0"/>
              <w:snapToGrid/>
              <w:spacing w:line="259" w:lineRule="auto"/>
              <w:jc w:val="center"/>
              <w:rPr>
                <w:bCs/>
                <w:lang w:eastAsia="en-US"/>
              </w:rPr>
            </w:pPr>
            <w:r w:rsidRPr="00CF61E2">
              <w:rPr>
                <w:bCs/>
                <w:lang w:eastAsia="en-US"/>
              </w:rPr>
              <w:t>MS transmit power</w:t>
            </w:r>
          </w:p>
        </w:tc>
        <w:tc>
          <w:tcPr>
            <w:tcW w:w="2272" w:type="dxa"/>
          </w:tcPr>
          <w:p w:rsidR="009B6A95" w:rsidRPr="00CF61E2" w:rsidRDefault="009B6A95" w:rsidP="00CF61E2">
            <w:pPr>
              <w:widowControl w:val="0"/>
              <w:snapToGrid/>
              <w:spacing w:line="259" w:lineRule="auto"/>
              <w:jc w:val="center"/>
              <w:rPr>
                <w:bCs/>
                <w:lang w:eastAsia="en-US"/>
              </w:rPr>
            </w:pPr>
            <w:r w:rsidRPr="00CF61E2">
              <w:rPr>
                <w:bCs/>
                <w:lang w:eastAsia="en-US"/>
              </w:rPr>
              <w:t xml:space="preserve">23 </w:t>
            </w:r>
            <w:proofErr w:type="spellStart"/>
            <w:r w:rsidRPr="00CF61E2">
              <w:rPr>
                <w:bCs/>
                <w:lang w:eastAsia="en-US"/>
              </w:rPr>
              <w:t>dBm</w:t>
            </w:r>
            <w:proofErr w:type="spellEnd"/>
          </w:p>
        </w:tc>
      </w:tr>
      <w:tr w:rsidR="009B6A95" w:rsidRPr="00CF61E2" w:rsidTr="008C5663">
        <w:trPr>
          <w:trHeight w:val="77"/>
        </w:trPr>
        <w:tc>
          <w:tcPr>
            <w:tcW w:w="2614" w:type="dxa"/>
          </w:tcPr>
          <w:p w:rsidR="009B6A95" w:rsidRPr="00CF61E2" w:rsidRDefault="009B6A95" w:rsidP="00CF61E2">
            <w:pPr>
              <w:widowControl w:val="0"/>
              <w:snapToGrid/>
              <w:spacing w:line="259" w:lineRule="auto"/>
              <w:jc w:val="center"/>
              <w:rPr>
                <w:bCs/>
                <w:lang w:eastAsia="en-US"/>
              </w:rPr>
            </w:pPr>
            <w:r w:rsidRPr="00CF61E2">
              <w:rPr>
                <w:bCs/>
                <w:lang w:eastAsia="en-US"/>
              </w:rPr>
              <w:t>BS receiver noise figure</w:t>
            </w:r>
          </w:p>
        </w:tc>
        <w:tc>
          <w:tcPr>
            <w:tcW w:w="2272" w:type="dxa"/>
          </w:tcPr>
          <w:p w:rsidR="009B6A95" w:rsidRPr="00CF61E2" w:rsidRDefault="009B6A95" w:rsidP="00CF61E2">
            <w:pPr>
              <w:widowControl w:val="0"/>
              <w:snapToGrid/>
              <w:spacing w:line="259" w:lineRule="auto"/>
              <w:jc w:val="center"/>
              <w:rPr>
                <w:bCs/>
                <w:lang w:eastAsia="en-US"/>
              </w:rPr>
            </w:pPr>
            <w:r w:rsidRPr="00CF61E2">
              <w:rPr>
                <w:bCs/>
                <w:lang w:eastAsia="en-US"/>
              </w:rPr>
              <w:t>3 dB</w:t>
            </w:r>
          </w:p>
        </w:tc>
      </w:tr>
      <w:tr w:rsidR="009B6A95" w:rsidRPr="00CF61E2" w:rsidTr="008C5663">
        <w:trPr>
          <w:trHeight w:val="77"/>
        </w:trPr>
        <w:tc>
          <w:tcPr>
            <w:tcW w:w="2614" w:type="dxa"/>
          </w:tcPr>
          <w:p w:rsidR="009B6A95" w:rsidRPr="00CF61E2" w:rsidRDefault="009B6A95" w:rsidP="00CF61E2">
            <w:pPr>
              <w:widowControl w:val="0"/>
              <w:snapToGrid/>
              <w:spacing w:line="259" w:lineRule="auto"/>
              <w:jc w:val="center"/>
              <w:rPr>
                <w:bCs/>
                <w:lang w:eastAsia="en-US"/>
              </w:rPr>
            </w:pPr>
            <w:r w:rsidRPr="00CF61E2">
              <w:rPr>
                <w:bCs/>
                <w:lang w:eastAsia="en-US"/>
              </w:rPr>
              <w:t xml:space="preserve">Frequency error </w:t>
            </w:r>
          </w:p>
        </w:tc>
        <w:tc>
          <w:tcPr>
            <w:tcW w:w="2272" w:type="dxa"/>
          </w:tcPr>
          <w:p w:rsidR="009B6A95" w:rsidRPr="00CF61E2" w:rsidRDefault="009B6A95" w:rsidP="00CF61E2">
            <w:pPr>
              <w:widowControl w:val="0"/>
              <w:snapToGrid/>
              <w:spacing w:line="259" w:lineRule="auto"/>
              <w:jc w:val="center"/>
              <w:rPr>
                <w:bCs/>
                <w:lang w:eastAsia="en-US"/>
              </w:rPr>
            </w:pPr>
            <w:r w:rsidRPr="00CF61E2">
              <w:rPr>
                <w:bCs/>
                <w:lang w:eastAsia="en-US"/>
              </w:rPr>
              <w:t xml:space="preserve">±50 Hz </w:t>
            </w:r>
          </w:p>
        </w:tc>
      </w:tr>
      <w:tr w:rsidR="009B6A95" w:rsidRPr="00CF61E2" w:rsidTr="008C5663">
        <w:trPr>
          <w:trHeight w:val="77"/>
        </w:trPr>
        <w:tc>
          <w:tcPr>
            <w:tcW w:w="2614" w:type="dxa"/>
          </w:tcPr>
          <w:p w:rsidR="009B6A95" w:rsidRPr="00CF61E2" w:rsidRDefault="009B6A95" w:rsidP="00CF61E2">
            <w:pPr>
              <w:widowControl w:val="0"/>
              <w:snapToGrid/>
              <w:spacing w:line="259" w:lineRule="auto"/>
              <w:jc w:val="center"/>
              <w:rPr>
                <w:bCs/>
                <w:lang w:eastAsia="en-US"/>
              </w:rPr>
            </w:pPr>
            <w:r w:rsidRPr="00CF61E2">
              <w:rPr>
                <w:bCs/>
                <w:lang w:eastAsia="en-US"/>
              </w:rPr>
              <w:t xml:space="preserve">Cell size </w:t>
            </w:r>
          </w:p>
        </w:tc>
        <w:tc>
          <w:tcPr>
            <w:tcW w:w="2272" w:type="dxa"/>
          </w:tcPr>
          <w:p w:rsidR="009B6A95" w:rsidRPr="00CF61E2" w:rsidRDefault="009B6A95" w:rsidP="00CF61E2">
            <w:pPr>
              <w:widowControl w:val="0"/>
              <w:snapToGrid/>
              <w:spacing w:line="259" w:lineRule="auto"/>
              <w:jc w:val="center"/>
              <w:rPr>
                <w:bCs/>
                <w:lang w:eastAsia="en-US"/>
              </w:rPr>
            </w:pPr>
            <w:r w:rsidRPr="00CF61E2">
              <w:rPr>
                <w:bCs/>
                <w:lang w:eastAsia="en-US"/>
              </w:rPr>
              <w:t xml:space="preserve">35 km </w:t>
            </w:r>
          </w:p>
        </w:tc>
      </w:tr>
      <w:tr w:rsidR="009B6A95" w:rsidRPr="00CF61E2" w:rsidTr="008C5663">
        <w:trPr>
          <w:trHeight w:val="77"/>
        </w:trPr>
        <w:tc>
          <w:tcPr>
            <w:tcW w:w="2614" w:type="dxa"/>
          </w:tcPr>
          <w:p w:rsidR="009B6A95" w:rsidRPr="00CF61E2" w:rsidRDefault="009B6A95" w:rsidP="00CF61E2">
            <w:pPr>
              <w:widowControl w:val="0"/>
              <w:snapToGrid/>
              <w:spacing w:line="259" w:lineRule="auto"/>
              <w:jc w:val="center"/>
              <w:rPr>
                <w:bCs/>
                <w:lang w:eastAsia="en-US"/>
              </w:rPr>
            </w:pPr>
            <w:r w:rsidRPr="00CF61E2">
              <w:rPr>
                <w:bCs/>
                <w:lang w:eastAsia="en-US"/>
              </w:rPr>
              <w:t xml:space="preserve">DL sync. error </w:t>
            </w:r>
          </w:p>
        </w:tc>
        <w:tc>
          <w:tcPr>
            <w:tcW w:w="2272" w:type="dxa"/>
          </w:tcPr>
          <w:p w:rsidR="009B6A95" w:rsidRPr="00CF61E2" w:rsidRDefault="009B6A95" w:rsidP="00CF61E2">
            <w:pPr>
              <w:widowControl w:val="0"/>
              <w:snapToGrid/>
              <w:spacing w:line="259" w:lineRule="auto"/>
              <w:jc w:val="center"/>
              <w:rPr>
                <w:bCs/>
                <w:lang w:eastAsia="en-US"/>
              </w:rPr>
            </w:pPr>
            <w:r w:rsidRPr="00CF61E2">
              <w:rPr>
                <w:bCs/>
                <w:lang w:eastAsia="en-US"/>
              </w:rPr>
              <w:t>[-2.5, 2.5] us</w:t>
            </w:r>
          </w:p>
        </w:tc>
      </w:tr>
    </w:tbl>
    <w:p w:rsidR="009B6A95" w:rsidRDefault="009B6A95" w:rsidP="009B6A95">
      <w:pPr>
        <w:rPr>
          <w:b/>
          <w:u w:val="single"/>
        </w:rPr>
      </w:pPr>
    </w:p>
    <w:p w:rsidR="009B6A95" w:rsidRDefault="009B6A95" w:rsidP="009B6A95">
      <w:pPr>
        <w:rPr>
          <w:b/>
          <w:u w:val="single"/>
        </w:rPr>
      </w:pPr>
    </w:p>
    <w:p w:rsidR="009B6A95" w:rsidRDefault="009B6A95" w:rsidP="009B6A95">
      <w:pPr>
        <w:rPr>
          <w:b/>
          <w:u w:val="single"/>
        </w:rPr>
      </w:pPr>
    </w:p>
    <w:p w:rsidR="009B6A95" w:rsidRDefault="009B6A95" w:rsidP="009B6A95">
      <w:pPr>
        <w:rPr>
          <w:b/>
          <w:u w:val="single"/>
        </w:rPr>
      </w:pPr>
    </w:p>
    <w:p w:rsidR="009B6A95" w:rsidRDefault="009B6A95" w:rsidP="009B6A95">
      <w:pPr>
        <w:rPr>
          <w:b/>
          <w:u w:val="single"/>
        </w:rPr>
      </w:pPr>
    </w:p>
    <w:p w:rsidR="009B6A95" w:rsidRDefault="009B6A95" w:rsidP="009B6A95">
      <w:pPr>
        <w:rPr>
          <w:b/>
          <w:u w:val="single"/>
        </w:rPr>
      </w:pPr>
    </w:p>
    <w:p w:rsidR="009B6A95" w:rsidRDefault="009B6A95" w:rsidP="009B6A95">
      <w:pPr>
        <w:rPr>
          <w:b/>
          <w:u w:val="single"/>
        </w:rPr>
      </w:pPr>
    </w:p>
    <w:p w:rsidR="009B6A95" w:rsidRDefault="009B6A95" w:rsidP="009B6A95">
      <w:pPr>
        <w:rPr>
          <w:b/>
          <w:u w:val="single"/>
        </w:rPr>
      </w:pPr>
    </w:p>
    <w:p w:rsidR="009B6A95" w:rsidRDefault="009B6A95" w:rsidP="009B6A95">
      <w:pPr>
        <w:rPr>
          <w:b/>
          <w:u w:val="single"/>
        </w:rPr>
      </w:pPr>
    </w:p>
    <w:p w:rsidR="009B6A95" w:rsidRDefault="009B6A95" w:rsidP="009B6A95">
      <w:pPr>
        <w:rPr>
          <w:b/>
          <w:u w:val="single"/>
        </w:rPr>
      </w:pPr>
    </w:p>
    <w:p w:rsidR="009B6A95" w:rsidRDefault="009B6A95" w:rsidP="009B6A95">
      <w:pPr>
        <w:jc w:val="center"/>
        <w:rPr>
          <w:b/>
        </w:rPr>
      </w:pPr>
    </w:p>
    <w:p w:rsidR="009B6A95" w:rsidRDefault="009B6A95" w:rsidP="009B6A95">
      <w:pPr>
        <w:jc w:val="center"/>
        <w:rPr>
          <w:b/>
        </w:rPr>
      </w:pPr>
    </w:p>
    <w:p w:rsidR="009B6A95" w:rsidRDefault="009B6A95" w:rsidP="009B6A95">
      <w:pPr>
        <w:jc w:val="center"/>
        <w:rPr>
          <w:bCs/>
        </w:rPr>
      </w:pPr>
      <w:r>
        <w:rPr>
          <w:b/>
        </w:rPr>
        <w:t>Table. 3: TDD NPRACH performance with N=2</w:t>
      </w:r>
    </w:p>
    <w:tbl>
      <w:tblPr>
        <w:tblStyle w:val="TableGrid"/>
        <w:tblW w:w="6792" w:type="dxa"/>
        <w:jc w:val="center"/>
        <w:tblLayout w:type="fixed"/>
        <w:tblLook w:val="04A0" w:firstRow="1" w:lastRow="0" w:firstColumn="1" w:lastColumn="0" w:noHBand="0" w:noVBand="1"/>
      </w:tblPr>
      <w:tblGrid>
        <w:gridCol w:w="1698"/>
        <w:gridCol w:w="1895"/>
        <w:gridCol w:w="1501"/>
        <w:gridCol w:w="1698"/>
      </w:tblGrid>
      <w:tr w:rsidR="009B6A95" w:rsidTr="008C5663">
        <w:trPr>
          <w:jc w:val="center"/>
        </w:trPr>
        <w:tc>
          <w:tcPr>
            <w:tcW w:w="1698" w:type="dxa"/>
          </w:tcPr>
          <w:p w:rsidR="009B6A95" w:rsidRDefault="009B6A95" w:rsidP="008C5663">
            <w:pPr>
              <w:jc w:val="center"/>
              <w:rPr>
                <w:bCs/>
              </w:rPr>
            </w:pPr>
          </w:p>
          <w:p w:rsidR="009B6A95" w:rsidRDefault="009B6A95" w:rsidP="008C5663">
            <w:pPr>
              <w:jc w:val="center"/>
              <w:rPr>
                <w:bCs/>
              </w:rPr>
            </w:pPr>
            <w:r>
              <w:rPr>
                <w:bCs/>
              </w:rPr>
              <w:t>MCL (dB)</w:t>
            </w:r>
          </w:p>
        </w:tc>
        <w:tc>
          <w:tcPr>
            <w:tcW w:w="1895" w:type="dxa"/>
          </w:tcPr>
          <w:p w:rsidR="009B6A95" w:rsidRDefault="009B6A95" w:rsidP="008C5663">
            <w:pPr>
              <w:jc w:val="center"/>
              <w:rPr>
                <w:bCs/>
              </w:rPr>
            </w:pPr>
            <w:r>
              <w:rPr>
                <w:bCs/>
              </w:rPr>
              <w:t xml:space="preserve">Probability of </w:t>
            </w:r>
            <w:proofErr w:type="spellStart"/>
            <w:r>
              <w:rPr>
                <w:bCs/>
              </w:rPr>
              <w:t>ToA</w:t>
            </w:r>
            <w:proofErr w:type="spellEnd"/>
            <w:r>
              <w:rPr>
                <w:bCs/>
              </w:rPr>
              <w:t xml:space="preserve"> in [-2.5 to 2.5] us (CP=266.67 us)</w:t>
            </w:r>
          </w:p>
        </w:tc>
        <w:tc>
          <w:tcPr>
            <w:tcW w:w="1501" w:type="dxa"/>
          </w:tcPr>
          <w:p w:rsidR="009B6A95" w:rsidRDefault="009B6A95" w:rsidP="008C5663">
            <w:pPr>
              <w:jc w:val="center"/>
              <w:rPr>
                <w:bCs/>
              </w:rPr>
            </w:pPr>
            <w:r>
              <w:rPr>
                <w:bCs/>
              </w:rPr>
              <w:t>False alarm probability</w:t>
            </w:r>
          </w:p>
        </w:tc>
        <w:tc>
          <w:tcPr>
            <w:tcW w:w="1698" w:type="dxa"/>
          </w:tcPr>
          <w:p w:rsidR="009B6A95" w:rsidRDefault="009B6A95" w:rsidP="008C5663">
            <w:pPr>
              <w:jc w:val="center"/>
              <w:rPr>
                <w:bCs/>
              </w:rPr>
            </w:pPr>
            <w:r>
              <w:rPr>
                <w:bCs/>
              </w:rPr>
              <w:t>Missed detection probability</w:t>
            </w:r>
          </w:p>
        </w:tc>
      </w:tr>
      <w:tr w:rsidR="009B6A95" w:rsidTr="008C5663">
        <w:trPr>
          <w:jc w:val="center"/>
        </w:trPr>
        <w:tc>
          <w:tcPr>
            <w:tcW w:w="1698" w:type="dxa"/>
          </w:tcPr>
          <w:p w:rsidR="009B6A95" w:rsidRDefault="009B6A95" w:rsidP="008C5663">
            <w:pPr>
              <w:jc w:val="center"/>
              <w:rPr>
                <w:bCs/>
              </w:rPr>
            </w:pPr>
            <w:r>
              <w:rPr>
                <w:bCs/>
              </w:rPr>
              <w:t>144</w:t>
            </w:r>
          </w:p>
        </w:tc>
        <w:tc>
          <w:tcPr>
            <w:tcW w:w="1895" w:type="dxa"/>
          </w:tcPr>
          <w:p w:rsidR="009B6A95" w:rsidRDefault="009B6A95" w:rsidP="008C5663">
            <w:pPr>
              <w:jc w:val="center"/>
              <w:rPr>
                <w:bCs/>
              </w:rPr>
            </w:pPr>
            <w:r>
              <w:rPr>
                <w:bCs/>
              </w:rPr>
              <w:t>0.996</w:t>
            </w:r>
          </w:p>
        </w:tc>
        <w:tc>
          <w:tcPr>
            <w:tcW w:w="1501" w:type="dxa"/>
          </w:tcPr>
          <w:p w:rsidR="009B6A95" w:rsidRDefault="009B6A95" w:rsidP="008C5663">
            <w:pPr>
              <w:jc w:val="center"/>
              <w:rPr>
                <w:bCs/>
              </w:rPr>
            </w:pPr>
            <w:r>
              <w:rPr>
                <w:bCs/>
              </w:rPr>
              <w:t>0</w:t>
            </w:r>
          </w:p>
        </w:tc>
        <w:tc>
          <w:tcPr>
            <w:tcW w:w="1698" w:type="dxa"/>
          </w:tcPr>
          <w:p w:rsidR="009B6A95" w:rsidRDefault="009B6A95" w:rsidP="008C5663">
            <w:pPr>
              <w:jc w:val="center"/>
              <w:rPr>
                <w:bCs/>
              </w:rPr>
            </w:pPr>
            <w:r>
              <w:rPr>
                <w:bCs/>
              </w:rPr>
              <w:t>0.08 %</w:t>
            </w:r>
          </w:p>
        </w:tc>
      </w:tr>
      <w:tr w:rsidR="009B6A95" w:rsidTr="008C5663">
        <w:trPr>
          <w:jc w:val="center"/>
        </w:trPr>
        <w:tc>
          <w:tcPr>
            <w:tcW w:w="1698" w:type="dxa"/>
          </w:tcPr>
          <w:p w:rsidR="009B6A95" w:rsidRDefault="009B6A95" w:rsidP="008C5663">
            <w:pPr>
              <w:jc w:val="center"/>
              <w:rPr>
                <w:bCs/>
              </w:rPr>
            </w:pPr>
            <w:r>
              <w:rPr>
                <w:bCs/>
              </w:rPr>
              <w:t>154</w:t>
            </w:r>
          </w:p>
        </w:tc>
        <w:tc>
          <w:tcPr>
            <w:tcW w:w="1895" w:type="dxa"/>
          </w:tcPr>
          <w:p w:rsidR="009B6A95" w:rsidRDefault="009B6A95" w:rsidP="008C5663">
            <w:pPr>
              <w:jc w:val="center"/>
              <w:rPr>
                <w:bCs/>
              </w:rPr>
            </w:pPr>
            <w:r>
              <w:rPr>
                <w:bCs/>
              </w:rPr>
              <w:t>0.964</w:t>
            </w:r>
          </w:p>
        </w:tc>
        <w:tc>
          <w:tcPr>
            <w:tcW w:w="1501" w:type="dxa"/>
          </w:tcPr>
          <w:p w:rsidR="009B6A95" w:rsidRDefault="009B6A95" w:rsidP="008C5663">
            <w:pPr>
              <w:jc w:val="center"/>
              <w:rPr>
                <w:bCs/>
              </w:rPr>
            </w:pPr>
            <w:r>
              <w:rPr>
                <w:bCs/>
              </w:rPr>
              <w:t>0</w:t>
            </w:r>
          </w:p>
        </w:tc>
        <w:tc>
          <w:tcPr>
            <w:tcW w:w="1698" w:type="dxa"/>
          </w:tcPr>
          <w:p w:rsidR="009B6A95" w:rsidRDefault="009B6A95" w:rsidP="008C5663">
            <w:pPr>
              <w:jc w:val="center"/>
              <w:rPr>
                <w:bCs/>
              </w:rPr>
            </w:pPr>
            <w:r>
              <w:rPr>
                <w:bCs/>
              </w:rPr>
              <w:t>0.24 %</w:t>
            </w:r>
          </w:p>
        </w:tc>
      </w:tr>
      <w:tr w:rsidR="009B6A95" w:rsidTr="008C5663">
        <w:trPr>
          <w:jc w:val="center"/>
        </w:trPr>
        <w:tc>
          <w:tcPr>
            <w:tcW w:w="1698" w:type="dxa"/>
          </w:tcPr>
          <w:p w:rsidR="009B6A95" w:rsidRDefault="009B6A95" w:rsidP="008C5663">
            <w:pPr>
              <w:jc w:val="center"/>
              <w:rPr>
                <w:bCs/>
              </w:rPr>
            </w:pPr>
            <w:r>
              <w:rPr>
                <w:bCs/>
              </w:rPr>
              <w:t>164</w:t>
            </w:r>
          </w:p>
        </w:tc>
        <w:tc>
          <w:tcPr>
            <w:tcW w:w="1895" w:type="dxa"/>
          </w:tcPr>
          <w:p w:rsidR="009B6A95" w:rsidRDefault="009B6A95" w:rsidP="008C5663">
            <w:pPr>
              <w:jc w:val="center"/>
              <w:rPr>
                <w:bCs/>
              </w:rPr>
            </w:pPr>
            <w:r>
              <w:rPr>
                <w:bCs/>
              </w:rPr>
              <w:t>0.769</w:t>
            </w:r>
          </w:p>
        </w:tc>
        <w:tc>
          <w:tcPr>
            <w:tcW w:w="1501" w:type="dxa"/>
          </w:tcPr>
          <w:p w:rsidR="009B6A95" w:rsidRDefault="009B6A95" w:rsidP="008C5663">
            <w:pPr>
              <w:jc w:val="center"/>
              <w:rPr>
                <w:bCs/>
              </w:rPr>
            </w:pPr>
            <w:r>
              <w:rPr>
                <w:bCs/>
              </w:rPr>
              <w:t>0.07 %</w:t>
            </w:r>
          </w:p>
        </w:tc>
        <w:tc>
          <w:tcPr>
            <w:tcW w:w="1698" w:type="dxa"/>
          </w:tcPr>
          <w:p w:rsidR="009B6A95" w:rsidRDefault="009B6A95" w:rsidP="008C5663">
            <w:pPr>
              <w:jc w:val="center"/>
              <w:rPr>
                <w:bCs/>
              </w:rPr>
            </w:pPr>
            <w:r>
              <w:rPr>
                <w:bCs/>
              </w:rPr>
              <w:t>2.85 %</w:t>
            </w:r>
          </w:p>
        </w:tc>
      </w:tr>
    </w:tbl>
    <w:p w:rsidR="009B6A95" w:rsidRDefault="009B6A95" w:rsidP="009B6A95">
      <w:pPr>
        <w:rPr>
          <w:bCs/>
        </w:rPr>
      </w:pPr>
    </w:p>
    <w:p w:rsidR="009B6A95" w:rsidRDefault="009B6A95" w:rsidP="009B6A95">
      <w:pPr>
        <w:jc w:val="center"/>
        <w:rPr>
          <w:bCs/>
        </w:rPr>
      </w:pPr>
      <w:r>
        <w:rPr>
          <w:b/>
        </w:rPr>
        <w:t>Table. 4: TDD NPRACH performance with N=3</w:t>
      </w:r>
    </w:p>
    <w:tbl>
      <w:tblPr>
        <w:tblStyle w:val="TableGrid"/>
        <w:tblW w:w="6792" w:type="dxa"/>
        <w:jc w:val="center"/>
        <w:tblLayout w:type="fixed"/>
        <w:tblLook w:val="04A0" w:firstRow="1" w:lastRow="0" w:firstColumn="1" w:lastColumn="0" w:noHBand="0" w:noVBand="1"/>
      </w:tblPr>
      <w:tblGrid>
        <w:gridCol w:w="1698"/>
        <w:gridCol w:w="1895"/>
        <w:gridCol w:w="1501"/>
        <w:gridCol w:w="1698"/>
      </w:tblGrid>
      <w:tr w:rsidR="009B6A95" w:rsidTr="008C5663">
        <w:trPr>
          <w:jc w:val="center"/>
        </w:trPr>
        <w:tc>
          <w:tcPr>
            <w:tcW w:w="1698" w:type="dxa"/>
          </w:tcPr>
          <w:p w:rsidR="009B6A95" w:rsidRDefault="009B6A95" w:rsidP="008C5663">
            <w:pPr>
              <w:jc w:val="center"/>
              <w:rPr>
                <w:bCs/>
              </w:rPr>
            </w:pPr>
          </w:p>
          <w:p w:rsidR="009B6A95" w:rsidRDefault="009B6A95" w:rsidP="008C5663">
            <w:pPr>
              <w:jc w:val="center"/>
              <w:rPr>
                <w:bCs/>
              </w:rPr>
            </w:pPr>
            <w:r>
              <w:rPr>
                <w:bCs/>
              </w:rPr>
              <w:t>MCL (dB)</w:t>
            </w:r>
          </w:p>
        </w:tc>
        <w:tc>
          <w:tcPr>
            <w:tcW w:w="1895" w:type="dxa"/>
          </w:tcPr>
          <w:p w:rsidR="009B6A95" w:rsidRDefault="009B6A95" w:rsidP="008C5663">
            <w:pPr>
              <w:jc w:val="center"/>
              <w:rPr>
                <w:bCs/>
              </w:rPr>
            </w:pPr>
            <w:r>
              <w:rPr>
                <w:bCs/>
              </w:rPr>
              <w:t xml:space="preserve">Probability of </w:t>
            </w:r>
            <w:proofErr w:type="spellStart"/>
            <w:r>
              <w:rPr>
                <w:bCs/>
              </w:rPr>
              <w:t>ToA</w:t>
            </w:r>
            <w:proofErr w:type="spellEnd"/>
            <w:r>
              <w:rPr>
                <w:bCs/>
              </w:rPr>
              <w:t xml:space="preserve"> in [-2.5 to 2.5] us (CP=266.67 us)</w:t>
            </w:r>
          </w:p>
        </w:tc>
        <w:tc>
          <w:tcPr>
            <w:tcW w:w="1501" w:type="dxa"/>
          </w:tcPr>
          <w:p w:rsidR="009B6A95" w:rsidRDefault="009B6A95" w:rsidP="008C5663">
            <w:pPr>
              <w:jc w:val="center"/>
              <w:rPr>
                <w:bCs/>
              </w:rPr>
            </w:pPr>
            <w:r>
              <w:rPr>
                <w:bCs/>
              </w:rPr>
              <w:t>False alarm probability</w:t>
            </w:r>
          </w:p>
        </w:tc>
        <w:tc>
          <w:tcPr>
            <w:tcW w:w="1698" w:type="dxa"/>
          </w:tcPr>
          <w:p w:rsidR="009B6A95" w:rsidRDefault="009B6A95" w:rsidP="008C5663">
            <w:pPr>
              <w:jc w:val="center"/>
              <w:rPr>
                <w:bCs/>
              </w:rPr>
            </w:pPr>
            <w:r>
              <w:rPr>
                <w:bCs/>
              </w:rPr>
              <w:t>Missed detection probability</w:t>
            </w:r>
          </w:p>
        </w:tc>
      </w:tr>
      <w:tr w:rsidR="009B6A95" w:rsidTr="008C5663">
        <w:trPr>
          <w:jc w:val="center"/>
        </w:trPr>
        <w:tc>
          <w:tcPr>
            <w:tcW w:w="1698" w:type="dxa"/>
          </w:tcPr>
          <w:p w:rsidR="009B6A95" w:rsidRDefault="009B6A95" w:rsidP="008C5663">
            <w:pPr>
              <w:jc w:val="center"/>
              <w:rPr>
                <w:bCs/>
              </w:rPr>
            </w:pPr>
            <w:r>
              <w:rPr>
                <w:bCs/>
              </w:rPr>
              <w:t>144</w:t>
            </w:r>
          </w:p>
        </w:tc>
        <w:tc>
          <w:tcPr>
            <w:tcW w:w="1895" w:type="dxa"/>
          </w:tcPr>
          <w:p w:rsidR="009B6A95" w:rsidRDefault="009B6A95" w:rsidP="008C5663">
            <w:pPr>
              <w:jc w:val="center"/>
              <w:rPr>
                <w:bCs/>
              </w:rPr>
            </w:pPr>
            <w:r>
              <w:rPr>
                <w:bCs/>
              </w:rPr>
              <w:t>0.997</w:t>
            </w:r>
          </w:p>
        </w:tc>
        <w:tc>
          <w:tcPr>
            <w:tcW w:w="1501" w:type="dxa"/>
          </w:tcPr>
          <w:p w:rsidR="009B6A95" w:rsidRDefault="009B6A95" w:rsidP="008C5663">
            <w:pPr>
              <w:jc w:val="center"/>
              <w:rPr>
                <w:bCs/>
              </w:rPr>
            </w:pPr>
            <w:r>
              <w:rPr>
                <w:bCs/>
              </w:rPr>
              <w:t>0</w:t>
            </w:r>
          </w:p>
        </w:tc>
        <w:tc>
          <w:tcPr>
            <w:tcW w:w="1698" w:type="dxa"/>
          </w:tcPr>
          <w:p w:rsidR="009B6A95" w:rsidRDefault="009B6A95" w:rsidP="008C5663">
            <w:pPr>
              <w:jc w:val="center"/>
              <w:rPr>
                <w:bCs/>
              </w:rPr>
            </w:pPr>
            <w:r>
              <w:rPr>
                <w:bCs/>
              </w:rPr>
              <w:t>0.02 %</w:t>
            </w:r>
          </w:p>
        </w:tc>
      </w:tr>
      <w:tr w:rsidR="009B6A95" w:rsidTr="008C5663">
        <w:trPr>
          <w:jc w:val="center"/>
        </w:trPr>
        <w:tc>
          <w:tcPr>
            <w:tcW w:w="1698" w:type="dxa"/>
          </w:tcPr>
          <w:p w:rsidR="009B6A95" w:rsidRDefault="009B6A95" w:rsidP="008C5663">
            <w:pPr>
              <w:jc w:val="center"/>
              <w:rPr>
                <w:bCs/>
              </w:rPr>
            </w:pPr>
            <w:r>
              <w:rPr>
                <w:bCs/>
              </w:rPr>
              <w:t>154</w:t>
            </w:r>
          </w:p>
        </w:tc>
        <w:tc>
          <w:tcPr>
            <w:tcW w:w="1895" w:type="dxa"/>
          </w:tcPr>
          <w:p w:rsidR="009B6A95" w:rsidRDefault="009B6A95" w:rsidP="008C5663">
            <w:pPr>
              <w:jc w:val="center"/>
              <w:rPr>
                <w:bCs/>
              </w:rPr>
            </w:pPr>
            <w:r>
              <w:rPr>
                <w:bCs/>
              </w:rPr>
              <w:t>0.977</w:t>
            </w:r>
          </w:p>
        </w:tc>
        <w:tc>
          <w:tcPr>
            <w:tcW w:w="1501" w:type="dxa"/>
          </w:tcPr>
          <w:p w:rsidR="009B6A95" w:rsidRDefault="009B6A95" w:rsidP="008C5663">
            <w:pPr>
              <w:jc w:val="center"/>
              <w:rPr>
                <w:bCs/>
              </w:rPr>
            </w:pPr>
            <w:r>
              <w:rPr>
                <w:bCs/>
              </w:rPr>
              <w:t>0</w:t>
            </w:r>
          </w:p>
        </w:tc>
        <w:tc>
          <w:tcPr>
            <w:tcW w:w="1698" w:type="dxa"/>
          </w:tcPr>
          <w:p w:rsidR="009B6A95" w:rsidRDefault="009B6A95" w:rsidP="008C5663">
            <w:pPr>
              <w:jc w:val="center"/>
              <w:rPr>
                <w:bCs/>
              </w:rPr>
            </w:pPr>
            <w:r>
              <w:rPr>
                <w:bCs/>
              </w:rPr>
              <w:t>0.08 %</w:t>
            </w:r>
          </w:p>
        </w:tc>
      </w:tr>
      <w:tr w:rsidR="009B6A95" w:rsidTr="008C5663">
        <w:trPr>
          <w:jc w:val="center"/>
        </w:trPr>
        <w:tc>
          <w:tcPr>
            <w:tcW w:w="1698" w:type="dxa"/>
          </w:tcPr>
          <w:p w:rsidR="009B6A95" w:rsidRDefault="009B6A95" w:rsidP="008C5663">
            <w:pPr>
              <w:jc w:val="center"/>
              <w:rPr>
                <w:bCs/>
              </w:rPr>
            </w:pPr>
            <w:r>
              <w:rPr>
                <w:bCs/>
              </w:rPr>
              <w:t>164</w:t>
            </w:r>
          </w:p>
        </w:tc>
        <w:tc>
          <w:tcPr>
            <w:tcW w:w="1895" w:type="dxa"/>
          </w:tcPr>
          <w:p w:rsidR="009B6A95" w:rsidRDefault="009B6A95" w:rsidP="008C5663">
            <w:pPr>
              <w:jc w:val="center"/>
              <w:rPr>
                <w:bCs/>
              </w:rPr>
            </w:pPr>
            <w:r>
              <w:rPr>
                <w:bCs/>
              </w:rPr>
              <w:t>0.821</w:t>
            </w:r>
          </w:p>
        </w:tc>
        <w:tc>
          <w:tcPr>
            <w:tcW w:w="1501" w:type="dxa"/>
          </w:tcPr>
          <w:p w:rsidR="009B6A95" w:rsidRDefault="009B6A95" w:rsidP="008C5663">
            <w:pPr>
              <w:jc w:val="center"/>
              <w:rPr>
                <w:bCs/>
              </w:rPr>
            </w:pPr>
            <w:r>
              <w:rPr>
                <w:bCs/>
              </w:rPr>
              <w:t>0.02 %</w:t>
            </w:r>
          </w:p>
        </w:tc>
        <w:tc>
          <w:tcPr>
            <w:tcW w:w="1698" w:type="dxa"/>
          </w:tcPr>
          <w:p w:rsidR="009B6A95" w:rsidRDefault="009B6A95" w:rsidP="008C5663">
            <w:pPr>
              <w:jc w:val="center"/>
              <w:rPr>
                <w:bCs/>
              </w:rPr>
            </w:pPr>
            <w:r>
              <w:rPr>
                <w:bCs/>
              </w:rPr>
              <w:t>0.35 %</w:t>
            </w:r>
          </w:p>
        </w:tc>
      </w:tr>
    </w:tbl>
    <w:p w:rsidR="009B6A95" w:rsidRDefault="009B6A95" w:rsidP="009B6A95">
      <w:pPr>
        <w:rPr>
          <w:bCs/>
        </w:rPr>
      </w:pPr>
    </w:p>
    <w:p w:rsidR="00CF61E2" w:rsidRDefault="00CF61E2" w:rsidP="009B6A95">
      <w:pPr>
        <w:rPr>
          <w:bCs/>
        </w:rPr>
      </w:pPr>
    </w:p>
    <w:p w:rsidR="00CF61E2" w:rsidRDefault="00CF61E2" w:rsidP="009B6A95">
      <w:pPr>
        <w:rPr>
          <w:bCs/>
        </w:rPr>
      </w:pPr>
    </w:p>
    <w:p w:rsidR="00CF61E2" w:rsidRDefault="00CF61E2" w:rsidP="009B6A95">
      <w:pPr>
        <w:rPr>
          <w:bCs/>
        </w:rPr>
      </w:pPr>
    </w:p>
    <w:p w:rsidR="009B6A95" w:rsidRDefault="009B6A95" w:rsidP="009B6A95">
      <w:pPr>
        <w:jc w:val="center"/>
        <w:rPr>
          <w:b/>
        </w:rPr>
      </w:pPr>
      <w:r>
        <w:rPr>
          <w:b/>
        </w:rPr>
        <w:lastRenderedPageBreak/>
        <w:t>Table. 5: TDD NPRACH performance with N=5</w:t>
      </w:r>
    </w:p>
    <w:tbl>
      <w:tblPr>
        <w:tblStyle w:val="TableGrid"/>
        <w:tblW w:w="6792" w:type="dxa"/>
        <w:jc w:val="center"/>
        <w:tblLayout w:type="fixed"/>
        <w:tblLook w:val="04A0" w:firstRow="1" w:lastRow="0" w:firstColumn="1" w:lastColumn="0" w:noHBand="0" w:noVBand="1"/>
      </w:tblPr>
      <w:tblGrid>
        <w:gridCol w:w="1698"/>
        <w:gridCol w:w="1895"/>
        <w:gridCol w:w="1501"/>
        <w:gridCol w:w="1698"/>
      </w:tblGrid>
      <w:tr w:rsidR="009B6A95" w:rsidTr="008C5663">
        <w:trPr>
          <w:jc w:val="center"/>
        </w:trPr>
        <w:tc>
          <w:tcPr>
            <w:tcW w:w="1698" w:type="dxa"/>
          </w:tcPr>
          <w:p w:rsidR="009B6A95" w:rsidRDefault="009B6A95" w:rsidP="008C5663">
            <w:pPr>
              <w:jc w:val="center"/>
              <w:rPr>
                <w:bCs/>
              </w:rPr>
            </w:pPr>
          </w:p>
          <w:p w:rsidR="009B6A95" w:rsidRDefault="009B6A95" w:rsidP="008C5663">
            <w:pPr>
              <w:jc w:val="center"/>
              <w:rPr>
                <w:bCs/>
              </w:rPr>
            </w:pPr>
            <w:r>
              <w:rPr>
                <w:bCs/>
              </w:rPr>
              <w:t>MCL (dB)</w:t>
            </w:r>
          </w:p>
        </w:tc>
        <w:tc>
          <w:tcPr>
            <w:tcW w:w="1895" w:type="dxa"/>
          </w:tcPr>
          <w:p w:rsidR="009B6A95" w:rsidRDefault="009B6A95" w:rsidP="008C5663">
            <w:pPr>
              <w:jc w:val="center"/>
              <w:rPr>
                <w:bCs/>
              </w:rPr>
            </w:pPr>
            <w:r>
              <w:rPr>
                <w:bCs/>
              </w:rPr>
              <w:t xml:space="preserve">Probability of </w:t>
            </w:r>
            <w:proofErr w:type="spellStart"/>
            <w:r>
              <w:rPr>
                <w:bCs/>
              </w:rPr>
              <w:t>ToA</w:t>
            </w:r>
            <w:proofErr w:type="spellEnd"/>
            <w:r>
              <w:rPr>
                <w:bCs/>
              </w:rPr>
              <w:t xml:space="preserve"> in [-2.5 to 2.5] us (CP=266.67 us)</w:t>
            </w:r>
          </w:p>
        </w:tc>
        <w:tc>
          <w:tcPr>
            <w:tcW w:w="1501" w:type="dxa"/>
          </w:tcPr>
          <w:p w:rsidR="009B6A95" w:rsidRDefault="009B6A95" w:rsidP="008C5663">
            <w:pPr>
              <w:jc w:val="center"/>
              <w:rPr>
                <w:bCs/>
              </w:rPr>
            </w:pPr>
            <w:r>
              <w:rPr>
                <w:bCs/>
              </w:rPr>
              <w:t>False alarm probability</w:t>
            </w:r>
          </w:p>
        </w:tc>
        <w:tc>
          <w:tcPr>
            <w:tcW w:w="1698" w:type="dxa"/>
          </w:tcPr>
          <w:p w:rsidR="009B6A95" w:rsidRDefault="009B6A95" w:rsidP="008C5663">
            <w:pPr>
              <w:jc w:val="center"/>
              <w:rPr>
                <w:bCs/>
              </w:rPr>
            </w:pPr>
            <w:r>
              <w:rPr>
                <w:bCs/>
              </w:rPr>
              <w:t>Missed detection probability</w:t>
            </w:r>
          </w:p>
        </w:tc>
      </w:tr>
      <w:tr w:rsidR="009B6A95" w:rsidTr="008C5663">
        <w:trPr>
          <w:jc w:val="center"/>
        </w:trPr>
        <w:tc>
          <w:tcPr>
            <w:tcW w:w="1698" w:type="dxa"/>
          </w:tcPr>
          <w:p w:rsidR="009B6A95" w:rsidRDefault="009B6A95" w:rsidP="008C5663">
            <w:pPr>
              <w:jc w:val="center"/>
              <w:rPr>
                <w:bCs/>
              </w:rPr>
            </w:pPr>
            <w:r>
              <w:rPr>
                <w:bCs/>
              </w:rPr>
              <w:t>144</w:t>
            </w:r>
          </w:p>
        </w:tc>
        <w:tc>
          <w:tcPr>
            <w:tcW w:w="1895" w:type="dxa"/>
          </w:tcPr>
          <w:p w:rsidR="009B6A95" w:rsidRDefault="009B6A95" w:rsidP="008C5663">
            <w:pPr>
              <w:jc w:val="center"/>
              <w:rPr>
                <w:bCs/>
              </w:rPr>
            </w:pPr>
            <w:r>
              <w:rPr>
                <w:bCs/>
              </w:rPr>
              <w:t>0.997</w:t>
            </w:r>
          </w:p>
        </w:tc>
        <w:tc>
          <w:tcPr>
            <w:tcW w:w="1501" w:type="dxa"/>
          </w:tcPr>
          <w:p w:rsidR="009B6A95" w:rsidRDefault="009B6A95" w:rsidP="008C5663">
            <w:pPr>
              <w:jc w:val="center"/>
              <w:rPr>
                <w:bCs/>
              </w:rPr>
            </w:pPr>
            <w:r>
              <w:rPr>
                <w:bCs/>
              </w:rPr>
              <w:t>0</w:t>
            </w:r>
          </w:p>
        </w:tc>
        <w:tc>
          <w:tcPr>
            <w:tcW w:w="1698" w:type="dxa"/>
          </w:tcPr>
          <w:p w:rsidR="009B6A95" w:rsidRDefault="009B6A95" w:rsidP="008C5663">
            <w:pPr>
              <w:jc w:val="center"/>
              <w:rPr>
                <w:bCs/>
              </w:rPr>
            </w:pPr>
            <w:r>
              <w:rPr>
                <w:bCs/>
              </w:rPr>
              <w:t>0</w:t>
            </w:r>
          </w:p>
        </w:tc>
      </w:tr>
      <w:tr w:rsidR="009B6A95" w:rsidTr="008C5663">
        <w:trPr>
          <w:jc w:val="center"/>
        </w:trPr>
        <w:tc>
          <w:tcPr>
            <w:tcW w:w="1698" w:type="dxa"/>
          </w:tcPr>
          <w:p w:rsidR="009B6A95" w:rsidRDefault="009B6A95" w:rsidP="008C5663">
            <w:pPr>
              <w:jc w:val="center"/>
              <w:rPr>
                <w:bCs/>
              </w:rPr>
            </w:pPr>
            <w:r>
              <w:rPr>
                <w:bCs/>
              </w:rPr>
              <w:t>154</w:t>
            </w:r>
          </w:p>
        </w:tc>
        <w:tc>
          <w:tcPr>
            <w:tcW w:w="1895" w:type="dxa"/>
          </w:tcPr>
          <w:p w:rsidR="009B6A95" w:rsidRDefault="009B6A95" w:rsidP="008C5663">
            <w:pPr>
              <w:jc w:val="center"/>
              <w:rPr>
                <w:bCs/>
              </w:rPr>
            </w:pPr>
            <w:r>
              <w:rPr>
                <w:bCs/>
              </w:rPr>
              <w:t>0.986</w:t>
            </w:r>
          </w:p>
        </w:tc>
        <w:tc>
          <w:tcPr>
            <w:tcW w:w="1501" w:type="dxa"/>
          </w:tcPr>
          <w:p w:rsidR="009B6A95" w:rsidRDefault="009B6A95" w:rsidP="008C5663">
            <w:pPr>
              <w:jc w:val="center"/>
              <w:rPr>
                <w:bCs/>
              </w:rPr>
            </w:pPr>
            <w:r>
              <w:rPr>
                <w:bCs/>
              </w:rPr>
              <w:t>0</w:t>
            </w:r>
          </w:p>
        </w:tc>
        <w:tc>
          <w:tcPr>
            <w:tcW w:w="1698" w:type="dxa"/>
          </w:tcPr>
          <w:p w:rsidR="009B6A95" w:rsidRDefault="009B6A95" w:rsidP="008C5663">
            <w:pPr>
              <w:jc w:val="center"/>
              <w:rPr>
                <w:bCs/>
              </w:rPr>
            </w:pPr>
            <w:r>
              <w:rPr>
                <w:bCs/>
              </w:rPr>
              <w:t>0.04 %</w:t>
            </w:r>
          </w:p>
        </w:tc>
      </w:tr>
      <w:tr w:rsidR="009B6A95" w:rsidTr="008C5663">
        <w:trPr>
          <w:jc w:val="center"/>
        </w:trPr>
        <w:tc>
          <w:tcPr>
            <w:tcW w:w="1698" w:type="dxa"/>
          </w:tcPr>
          <w:p w:rsidR="009B6A95" w:rsidRDefault="009B6A95" w:rsidP="008C5663">
            <w:pPr>
              <w:jc w:val="center"/>
              <w:rPr>
                <w:bCs/>
              </w:rPr>
            </w:pPr>
            <w:r>
              <w:rPr>
                <w:bCs/>
              </w:rPr>
              <w:t>164</w:t>
            </w:r>
          </w:p>
        </w:tc>
        <w:tc>
          <w:tcPr>
            <w:tcW w:w="1895" w:type="dxa"/>
          </w:tcPr>
          <w:p w:rsidR="009B6A95" w:rsidRDefault="009B6A95" w:rsidP="008C5663">
            <w:pPr>
              <w:jc w:val="center"/>
              <w:rPr>
                <w:bCs/>
              </w:rPr>
            </w:pPr>
            <w:r>
              <w:rPr>
                <w:bCs/>
              </w:rPr>
              <w:t>0.860</w:t>
            </w:r>
          </w:p>
        </w:tc>
        <w:tc>
          <w:tcPr>
            <w:tcW w:w="1501" w:type="dxa"/>
          </w:tcPr>
          <w:p w:rsidR="009B6A95" w:rsidRDefault="009B6A95" w:rsidP="008C5663">
            <w:pPr>
              <w:jc w:val="center"/>
              <w:rPr>
                <w:bCs/>
              </w:rPr>
            </w:pPr>
            <w:r>
              <w:rPr>
                <w:bCs/>
              </w:rPr>
              <w:t>0.02 %</w:t>
            </w:r>
          </w:p>
        </w:tc>
        <w:tc>
          <w:tcPr>
            <w:tcW w:w="1698" w:type="dxa"/>
          </w:tcPr>
          <w:p w:rsidR="009B6A95" w:rsidRDefault="009B6A95" w:rsidP="008C5663">
            <w:pPr>
              <w:jc w:val="center"/>
              <w:rPr>
                <w:bCs/>
              </w:rPr>
            </w:pPr>
            <w:r>
              <w:rPr>
                <w:bCs/>
              </w:rPr>
              <w:t>0.20 %</w:t>
            </w:r>
          </w:p>
        </w:tc>
      </w:tr>
    </w:tbl>
    <w:p w:rsidR="009B6A95" w:rsidRDefault="009B6A95" w:rsidP="009B6A95">
      <w:pPr>
        <w:rPr>
          <w:bCs/>
        </w:rPr>
      </w:pPr>
    </w:p>
    <w:p w:rsidR="009B6A95" w:rsidRDefault="009B6A95" w:rsidP="009B6A95">
      <w:pPr>
        <w:rPr>
          <w:bCs/>
        </w:rPr>
      </w:pPr>
      <w:r>
        <w:rPr>
          <w:bCs/>
        </w:rPr>
        <w:t>It is observed that with N=5, NPRACH achieved best performance in all MCL cases compared to other cases. NPRACH with N=3 performed better over NPRACH with N=2. So, for UL</w:t>
      </w:r>
      <w:proofErr w:type="gramStart"/>
      <w:r>
        <w:rPr>
          <w:bCs/>
        </w:rPr>
        <w:t>:DL</w:t>
      </w:r>
      <w:proofErr w:type="gramEnd"/>
      <w:r>
        <w:rPr>
          <w:bCs/>
        </w:rPr>
        <w:t xml:space="preserve"> configurations with two consecutive UL </w:t>
      </w:r>
      <w:proofErr w:type="spellStart"/>
      <w:r>
        <w:rPr>
          <w:bCs/>
        </w:rPr>
        <w:t>subframes</w:t>
      </w:r>
      <w:proofErr w:type="spellEnd"/>
      <w:r>
        <w:rPr>
          <w:bCs/>
        </w:rPr>
        <w:t xml:space="preserve"> N=3 is preferred and for UL:DL configurations with 3 consecutive </w:t>
      </w:r>
      <w:proofErr w:type="spellStart"/>
      <w:r>
        <w:rPr>
          <w:bCs/>
        </w:rPr>
        <w:t>subframes</w:t>
      </w:r>
      <w:proofErr w:type="spellEnd"/>
      <w:r>
        <w:rPr>
          <w:bCs/>
        </w:rPr>
        <w:t xml:space="preserve"> N=5 is preferred.</w:t>
      </w:r>
    </w:p>
    <w:p w:rsidR="009B6A95" w:rsidRDefault="009B6A95" w:rsidP="009B6A95">
      <w:pPr>
        <w:rPr>
          <w:b/>
          <w:lang w:val="en-GB"/>
        </w:rPr>
      </w:pPr>
      <w:r>
        <w:rPr>
          <w:b/>
          <w:u w:val="single"/>
          <w:lang w:val="en-GB"/>
        </w:rPr>
        <w:t xml:space="preserve">Proposal </w:t>
      </w:r>
      <w:r w:rsidR="00CF61E2">
        <w:rPr>
          <w:b/>
          <w:u w:val="single"/>
        </w:rPr>
        <w:t>2</w:t>
      </w:r>
      <w:r>
        <w:rPr>
          <w:b/>
          <w:lang w:val="en-GB"/>
        </w:rPr>
        <w:t>:</w:t>
      </w:r>
      <w:r>
        <w:rPr>
          <w:b/>
        </w:rPr>
        <w:t xml:space="preserve"> Symbol groups with 3 symbols are used in UL</w:t>
      </w:r>
      <w:proofErr w:type="gramStart"/>
      <w:r>
        <w:rPr>
          <w:b/>
        </w:rPr>
        <w:t>:DL</w:t>
      </w:r>
      <w:proofErr w:type="gramEnd"/>
      <w:r>
        <w:rPr>
          <w:b/>
        </w:rPr>
        <w:t xml:space="preserve"> configurations with two consecutive UL </w:t>
      </w:r>
      <w:proofErr w:type="spellStart"/>
      <w:r>
        <w:rPr>
          <w:b/>
        </w:rPr>
        <w:t>subframes</w:t>
      </w:r>
      <w:proofErr w:type="spellEnd"/>
      <w:r>
        <w:rPr>
          <w:b/>
        </w:rPr>
        <w:t xml:space="preserve"> and symbol groups with 5 symbols are used in UL:DL configurations with three consecutive UL </w:t>
      </w:r>
      <w:proofErr w:type="spellStart"/>
      <w:r>
        <w:rPr>
          <w:b/>
        </w:rPr>
        <w:t>subframes</w:t>
      </w:r>
      <w:proofErr w:type="spellEnd"/>
      <w:r>
        <w:rPr>
          <w:b/>
        </w:rPr>
        <w:t>.</w:t>
      </w:r>
    </w:p>
    <w:p w:rsidR="009B6A95" w:rsidRDefault="009B6A95" w:rsidP="009B6A95">
      <w:pPr>
        <w:rPr>
          <w:b/>
          <w:lang w:val="en-GB"/>
        </w:rPr>
      </w:pPr>
    </w:p>
    <w:p w:rsidR="009B6A95" w:rsidRDefault="009B6A95" w:rsidP="009B6A95">
      <w:pPr>
        <w:pStyle w:val="Heading1"/>
        <w:numPr>
          <w:ilvl w:val="255"/>
          <w:numId w:val="0"/>
        </w:numPr>
      </w:pPr>
      <w:bookmarkStart w:id="4" w:name="_Ref378529477"/>
      <w:bookmarkStart w:id="5" w:name="_Toc425248865"/>
      <w:bookmarkStart w:id="6" w:name="_Toc425504168"/>
      <w:bookmarkStart w:id="7" w:name="_Toc425501584"/>
      <w:bookmarkStart w:id="8" w:name="_Toc425350726"/>
      <w:bookmarkStart w:id="9" w:name="_Toc425344835"/>
      <w:bookmarkStart w:id="10" w:name="_Toc424303267"/>
      <w:r>
        <w:t>3. Conclusions</w:t>
      </w:r>
    </w:p>
    <w:bookmarkEnd w:id="4"/>
    <w:bookmarkEnd w:id="5"/>
    <w:bookmarkEnd w:id="6"/>
    <w:bookmarkEnd w:id="7"/>
    <w:bookmarkEnd w:id="8"/>
    <w:bookmarkEnd w:id="9"/>
    <w:bookmarkEnd w:id="10"/>
    <w:p w:rsidR="009B6A95" w:rsidRDefault="009B6A95" w:rsidP="009B6A95">
      <w:pPr>
        <w:rPr>
          <w:lang w:val="en-GB"/>
        </w:rPr>
      </w:pPr>
      <w:r>
        <w:rPr>
          <w:lang w:val="en-GB"/>
        </w:rPr>
        <w:t xml:space="preserve">In this contribution, we discussed the </w:t>
      </w:r>
      <w:r>
        <w:t xml:space="preserve">NPRACH </w:t>
      </w:r>
      <w:r>
        <w:rPr>
          <w:lang w:val="en-GB"/>
        </w:rPr>
        <w:t xml:space="preserve">design aspects of </w:t>
      </w:r>
      <w:r>
        <w:t xml:space="preserve">TDD </w:t>
      </w:r>
      <w:r>
        <w:rPr>
          <w:lang w:val="en-GB"/>
        </w:rPr>
        <w:t>NB-</w:t>
      </w:r>
      <w:proofErr w:type="spellStart"/>
      <w:r>
        <w:rPr>
          <w:lang w:val="en-GB"/>
        </w:rPr>
        <w:t>IoT</w:t>
      </w:r>
      <w:proofErr w:type="spellEnd"/>
      <w:r>
        <w:t xml:space="preserve"> and analyzed NPRACH designs </w:t>
      </w:r>
      <w:r w:rsidR="00B25C2F">
        <w:t>with N as 2, 3 and 5</w:t>
      </w:r>
      <w:r>
        <w:t xml:space="preserve">. We made the following </w:t>
      </w:r>
      <w:r>
        <w:rPr>
          <w:lang w:val="en-GB"/>
        </w:rPr>
        <w:t>proposal</w:t>
      </w:r>
      <w:r>
        <w:t>s</w:t>
      </w:r>
      <w:r>
        <w:rPr>
          <w:lang w:val="en-GB"/>
        </w:rPr>
        <w:t>:</w:t>
      </w:r>
    </w:p>
    <w:p w:rsidR="009B6A95" w:rsidRDefault="009B6A95" w:rsidP="009B6A95">
      <w:pPr>
        <w:rPr>
          <w:b/>
          <w:lang w:val="en-GB"/>
        </w:rPr>
      </w:pPr>
      <w:r>
        <w:rPr>
          <w:b/>
          <w:u w:val="single"/>
          <w:lang w:val="en-GB"/>
        </w:rPr>
        <w:t>Proposal 1</w:t>
      </w:r>
      <w:r>
        <w:rPr>
          <w:b/>
          <w:lang w:val="en-GB"/>
        </w:rPr>
        <w:t xml:space="preserve">: </w:t>
      </w:r>
      <w:proofErr w:type="spellStart"/>
      <w:r>
        <w:rPr>
          <w:b/>
        </w:rPr>
        <w:t>UpPTS</w:t>
      </w:r>
      <w:proofErr w:type="spellEnd"/>
      <w:r>
        <w:rPr>
          <w:b/>
        </w:rPr>
        <w:t xml:space="preserve"> symbols can be used for NPRACH transmission.</w:t>
      </w:r>
      <w:r>
        <w:rPr>
          <w:b/>
          <w:lang w:val="en-GB"/>
        </w:rPr>
        <w:t xml:space="preserve"> </w:t>
      </w:r>
    </w:p>
    <w:p w:rsidR="009B6A95" w:rsidRDefault="00273A17" w:rsidP="009B6A95">
      <w:pPr>
        <w:rPr>
          <w:b/>
          <w:lang w:val="en-GB"/>
        </w:rPr>
      </w:pPr>
      <w:r>
        <w:rPr>
          <w:b/>
          <w:u w:val="single"/>
          <w:lang w:val="en-GB"/>
        </w:rPr>
        <w:t>Proposal 2</w:t>
      </w:r>
      <w:r w:rsidR="009B6A95">
        <w:rPr>
          <w:b/>
          <w:lang w:val="en-GB"/>
        </w:rPr>
        <w:t xml:space="preserve">: </w:t>
      </w:r>
      <w:r w:rsidR="009B6A95">
        <w:rPr>
          <w:b/>
        </w:rPr>
        <w:t>Symbol groups with 3 symbols are used in UL</w:t>
      </w:r>
      <w:proofErr w:type="gramStart"/>
      <w:r w:rsidR="009B6A95">
        <w:rPr>
          <w:b/>
        </w:rPr>
        <w:t>:DL</w:t>
      </w:r>
      <w:proofErr w:type="gramEnd"/>
      <w:r w:rsidR="009B6A95">
        <w:rPr>
          <w:b/>
        </w:rPr>
        <w:t xml:space="preserve"> configurations with two consecutive UL </w:t>
      </w:r>
      <w:proofErr w:type="spellStart"/>
      <w:r w:rsidR="009B6A95">
        <w:rPr>
          <w:b/>
        </w:rPr>
        <w:t>subframes</w:t>
      </w:r>
      <w:proofErr w:type="spellEnd"/>
      <w:r w:rsidR="009B6A95">
        <w:rPr>
          <w:b/>
        </w:rPr>
        <w:t xml:space="preserve"> and symbol groups with 5 symbols are used in UL:DL configurations with three consecutive UL </w:t>
      </w:r>
      <w:proofErr w:type="spellStart"/>
      <w:r w:rsidR="009B6A95">
        <w:rPr>
          <w:b/>
        </w:rPr>
        <w:t>subframes</w:t>
      </w:r>
      <w:proofErr w:type="spellEnd"/>
      <w:r w:rsidR="009B6A95">
        <w:rPr>
          <w:b/>
        </w:rPr>
        <w:t>.</w:t>
      </w:r>
    </w:p>
    <w:p w:rsidR="009B6A95" w:rsidRDefault="009B6A95" w:rsidP="009B6A95">
      <w:pPr>
        <w:rPr>
          <w:b/>
          <w:lang w:val="en-GB"/>
        </w:rPr>
      </w:pPr>
    </w:p>
    <w:p w:rsidR="009B6A95" w:rsidRDefault="009B6A95" w:rsidP="009B6A95">
      <w:pPr>
        <w:pStyle w:val="Heading1"/>
        <w:numPr>
          <w:ilvl w:val="255"/>
          <w:numId w:val="0"/>
        </w:numPr>
        <w:rPr>
          <w:lang w:val="en-US"/>
        </w:rPr>
      </w:pPr>
      <w:r>
        <w:t xml:space="preserve">4. </w:t>
      </w:r>
      <w:r>
        <w:rPr>
          <w:lang w:val="en-US"/>
        </w:rPr>
        <w:t>References</w:t>
      </w:r>
    </w:p>
    <w:p w:rsidR="009B6A95" w:rsidRDefault="009B6A95" w:rsidP="009B6A95">
      <w:pPr>
        <w:rPr>
          <w:rStyle w:val="SubtleReference1"/>
        </w:rPr>
      </w:pPr>
      <w:r>
        <w:t xml:space="preserve">[1]  </w:t>
      </w:r>
      <w:r>
        <w:rPr>
          <w:rStyle w:val="SubtleReference1"/>
        </w:rPr>
        <w:t xml:space="preserve">RP-171428, “Revised </w:t>
      </w:r>
      <w:r>
        <w:rPr>
          <w:rStyle w:val="SubtleReference1"/>
          <w:rFonts w:hint="eastAsia"/>
          <w:lang w:eastAsia="zh-CN"/>
        </w:rPr>
        <w:t xml:space="preserve">WID </w:t>
      </w:r>
      <w:r>
        <w:rPr>
          <w:rStyle w:val="SubtleReference1"/>
        </w:rPr>
        <w:t>on further NB-</w:t>
      </w:r>
      <w:proofErr w:type="spellStart"/>
      <w:r>
        <w:rPr>
          <w:rStyle w:val="SubtleReference1"/>
        </w:rPr>
        <w:t>IoT</w:t>
      </w:r>
      <w:proofErr w:type="spellEnd"/>
      <w:r>
        <w:rPr>
          <w:rStyle w:val="SubtleReference1"/>
        </w:rPr>
        <w:t xml:space="preserve"> enhancements”, Huawei, </w:t>
      </w:r>
      <w:proofErr w:type="spellStart"/>
      <w:r>
        <w:rPr>
          <w:rStyle w:val="SubtleReference1"/>
        </w:rPr>
        <w:t>HiSilicon</w:t>
      </w:r>
      <w:proofErr w:type="spellEnd"/>
      <w:r>
        <w:rPr>
          <w:rStyle w:val="SubtleReference1"/>
        </w:rPr>
        <w:t>, 3GPP RAN#76 meeting, West Palm Beach, USA, June 5-8, 2017.</w:t>
      </w:r>
    </w:p>
    <w:p w:rsidR="009B6A95" w:rsidRDefault="009B6A95" w:rsidP="009B6A95">
      <w:pPr>
        <w:rPr>
          <w:rStyle w:val="SubtleReference1"/>
        </w:rPr>
      </w:pPr>
      <w:r>
        <w:rPr>
          <w:rStyle w:val="SubtleReference1"/>
        </w:rPr>
        <w:t>[2</w:t>
      </w:r>
      <w:proofErr w:type="gramStart"/>
      <w:r>
        <w:rPr>
          <w:rStyle w:val="SubtleReference1"/>
        </w:rPr>
        <w:t>]  Physical</w:t>
      </w:r>
      <w:proofErr w:type="gramEnd"/>
      <w:r>
        <w:rPr>
          <w:rStyle w:val="SubtleReference1"/>
        </w:rPr>
        <w:t xml:space="preserve"> channels and modulation, 3GPP TS 36.211 V13.2.0. </w:t>
      </w:r>
    </w:p>
    <w:p w:rsidR="009B6A95" w:rsidRDefault="00C5160B" w:rsidP="009B6A95">
      <w:pPr>
        <w:rPr>
          <w:rStyle w:val="SubtleReference1"/>
          <w:lang w:eastAsia="zh-CN"/>
        </w:rPr>
      </w:pPr>
      <w:r>
        <w:rPr>
          <w:rStyle w:val="SubtleReference1"/>
        </w:rPr>
        <w:t>[3</w:t>
      </w:r>
      <w:proofErr w:type="gramStart"/>
      <w:r w:rsidR="009B6A95">
        <w:rPr>
          <w:rStyle w:val="SubtleReference1"/>
        </w:rPr>
        <w:t xml:space="preserve">]  </w:t>
      </w:r>
      <w:r w:rsidR="009B6A95">
        <w:rPr>
          <w:rStyle w:val="SubtleReference1"/>
          <w:lang w:eastAsia="zh-CN"/>
        </w:rPr>
        <w:t>R1</w:t>
      </w:r>
      <w:proofErr w:type="gramEnd"/>
      <w:r w:rsidR="009B6A95">
        <w:rPr>
          <w:rStyle w:val="SubtleReference1"/>
          <w:lang w:eastAsia="zh-CN"/>
        </w:rPr>
        <w:t>-1713366, “On uplink TDD NB-</w:t>
      </w:r>
      <w:proofErr w:type="spellStart"/>
      <w:r w:rsidR="009B6A95">
        <w:rPr>
          <w:rStyle w:val="SubtleReference1"/>
          <w:lang w:eastAsia="zh-CN"/>
        </w:rPr>
        <w:t>IoT</w:t>
      </w:r>
      <w:proofErr w:type="spellEnd"/>
      <w:r w:rsidR="009B6A95">
        <w:rPr>
          <w:rStyle w:val="SubtleReference1"/>
          <w:lang w:eastAsia="zh-CN"/>
        </w:rPr>
        <w:t xml:space="preserve">”, </w:t>
      </w:r>
      <w:r w:rsidR="009B6A95">
        <w:rPr>
          <w:rStyle w:val="SubtleReference1"/>
        </w:rPr>
        <w:t xml:space="preserve">Huawei, </w:t>
      </w:r>
      <w:proofErr w:type="spellStart"/>
      <w:r w:rsidR="009B6A95">
        <w:rPr>
          <w:rStyle w:val="SubtleReference1"/>
        </w:rPr>
        <w:t>HiSilicon</w:t>
      </w:r>
      <w:proofErr w:type="spellEnd"/>
      <w:r w:rsidR="009B6A95">
        <w:rPr>
          <w:rStyle w:val="SubtleReference1"/>
        </w:rPr>
        <w:t xml:space="preserve">, </w:t>
      </w:r>
      <w:r w:rsidR="009B6A95">
        <w:rPr>
          <w:rStyle w:val="SubtleReference1"/>
          <w:lang w:eastAsia="zh-CN"/>
        </w:rPr>
        <w:t>3GPP TSG RAN WG1 Meeting #90</w:t>
      </w:r>
    </w:p>
    <w:p w:rsidR="009B6A95" w:rsidRDefault="00C5160B" w:rsidP="009B6A95">
      <w:pPr>
        <w:rPr>
          <w:rStyle w:val="SubtleReference1"/>
          <w:lang w:eastAsia="zh-CN"/>
        </w:rPr>
      </w:pPr>
      <w:r>
        <w:rPr>
          <w:rStyle w:val="SubtleReference1"/>
          <w:lang w:eastAsia="zh-CN"/>
        </w:rPr>
        <w:t>[4</w:t>
      </w:r>
      <w:proofErr w:type="gramStart"/>
      <w:r w:rsidR="009B6A95">
        <w:rPr>
          <w:rStyle w:val="SubtleReference1"/>
          <w:lang w:eastAsia="zh-CN"/>
        </w:rPr>
        <w:t>]  R1</w:t>
      </w:r>
      <w:proofErr w:type="gramEnd"/>
      <w:r w:rsidR="009B6A95">
        <w:rPr>
          <w:rStyle w:val="SubtleReference1"/>
          <w:lang w:eastAsia="zh-CN"/>
        </w:rPr>
        <w:t>-160026, “NB-PRACH evaluation”, 3GPP TSG RAN WG1 NB-</w:t>
      </w:r>
      <w:proofErr w:type="spellStart"/>
      <w:r w:rsidR="009B6A95">
        <w:rPr>
          <w:rStyle w:val="SubtleReference1"/>
          <w:lang w:eastAsia="zh-CN"/>
        </w:rPr>
        <w:t>IoT</w:t>
      </w:r>
      <w:proofErr w:type="spellEnd"/>
      <w:r w:rsidR="009B6A95">
        <w:rPr>
          <w:rStyle w:val="SubtleReference1"/>
          <w:lang w:eastAsia="zh-CN"/>
        </w:rPr>
        <w:t xml:space="preserve"> Ad-Hoc meeting</w:t>
      </w:r>
    </w:p>
    <w:p w:rsidR="009B6A95" w:rsidRDefault="009B6A95" w:rsidP="009B6A95">
      <w:pPr>
        <w:rPr>
          <w:rStyle w:val="SubtleReference1"/>
        </w:rPr>
      </w:pPr>
    </w:p>
    <w:p w:rsidR="00912927" w:rsidRDefault="00912927"/>
    <w:sectPr w:rsidR="00912927">
      <w:headerReference w:type="even" r:id="rId8"/>
      <w:footerReference w:type="even" r:id="rId9"/>
      <w:footerReference w:type="default" r:id="rId10"/>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8C6" w:rsidRDefault="004B28C6">
      <w:pPr>
        <w:spacing w:after="0" w:line="240" w:lineRule="auto"/>
      </w:pPr>
      <w:r>
        <w:separator/>
      </w:r>
    </w:p>
  </w:endnote>
  <w:endnote w:type="continuationSeparator" w:id="0">
    <w:p w:rsidR="004B28C6" w:rsidRDefault="004B2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124" w:rsidRDefault="00273A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6124" w:rsidRDefault="004B28C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124" w:rsidRDefault="00273A17">
    <w:pPr>
      <w:pStyle w:val="Footer"/>
      <w:ind w:right="360"/>
    </w:pPr>
    <w:r>
      <w:rPr>
        <w:rStyle w:val="PageNumber"/>
      </w:rPr>
      <w:fldChar w:fldCharType="begin"/>
    </w:r>
    <w:r>
      <w:rPr>
        <w:rStyle w:val="PageNumber"/>
      </w:rPr>
      <w:instrText xml:space="preserve"> PAGE </w:instrText>
    </w:r>
    <w:r>
      <w:rPr>
        <w:rStyle w:val="PageNumber"/>
      </w:rPr>
      <w:fldChar w:fldCharType="separate"/>
    </w:r>
    <w:r w:rsidR="00EB562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5623">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8C6" w:rsidRDefault="004B28C6">
      <w:pPr>
        <w:spacing w:after="0" w:line="240" w:lineRule="auto"/>
      </w:pPr>
      <w:r>
        <w:separator/>
      </w:r>
    </w:p>
  </w:footnote>
  <w:footnote w:type="continuationSeparator" w:id="0">
    <w:p w:rsidR="004B28C6" w:rsidRDefault="004B28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124" w:rsidRDefault="00273A1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tentative="1">
      <w:start w:val="1"/>
      <w:numFmt w:val="decimal"/>
      <w:pStyle w:val="Heading1"/>
      <w:lvlText w:val="%1"/>
      <w:lvlJc w:val="left"/>
      <w:pPr>
        <w:ind w:left="432" w:hanging="432"/>
      </w:pPr>
    </w:lvl>
    <w:lvl w:ilvl="1" w:tentative="1">
      <w:start w:val="1"/>
      <w:numFmt w:val="decimal"/>
      <w:lvlText w:val="%1.%2"/>
      <w:lvlJc w:val="left"/>
      <w:pPr>
        <w:ind w:left="576" w:hanging="576"/>
      </w:pPr>
    </w:lvl>
    <w:lvl w:ilvl="2" w:tentative="1">
      <w:start w:val="1"/>
      <w:numFmt w:val="decimal"/>
      <w:lvlText w:val="%1.%2.%3"/>
      <w:lvlJc w:val="left"/>
      <w:pPr>
        <w:ind w:left="720" w:hanging="720"/>
      </w:pPr>
    </w:lvl>
    <w:lvl w:ilvl="3" w:tentative="1">
      <w:start w:val="1"/>
      <w:numFmt w:val="decimal"/>
      <w:lvlText w:val="%1.%2.%3.%4"/>
      <w:lvlJc w:val="left"/>
      <w:pPr>
        <w:ind w:left="864" w:hanging="864"/>
      </w:pPr>
    </w:lvl>
    <w:lvl w:ilvl="4" w:tentative="1">
      <w:start w:val="1"/>
      <w:numFmt w:val="decimal"/>
      <w:lvlText w:val="%1.%2.%3.%4.%5"/>
      <w:lvlJc w:val="left"/>
      <w:pPr>
        <w:ind w:left="1008" w:hanging="1008"/>
      </w:p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2">
    <w:nsid w:val="59CDAC7D"/>
    <w:multiLevelType w:val="multilevel"/>
    <w:tmpl w:val="59CDAC7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tentative="1">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A95"/>
    <w:rsid w:val="000971B9"/>
    <w:rsid w:val="00142D40"/>
    <w:rsid w:val="001B787C"/>
    <w:rsid w:val="00273A17"/>
    <w:rsid w:val="00283B40"/>
    <w:rsid w:val="00446822"/>
    <w:rsid w:val="004B28C6"/>
    <w:rsid w:val="005B08BF"/>
    <w:rsid w:val="005E7CFB"/>
    <w:rsid w:val="00606DE7"/>
    <w:rsid w:val="00912927"/>
    <w:rsid w:val="00986552"/>
    <w:rsid w:val="009B6A95"/>
    <w:rsid w:val="00A03313"/>
    <w:rsid w:val="00AC634B"/>
    <w:rsid w:val="00B25C2F"/>
    <w:rsid w:val="00C0757E"/>
    <w:rsid w:val="00C43C03"/>
    <w:rsid w:val="00C5160B"/>
    <w:rsid w:val="00CF61E2"/>
    <w:rsid w:val="00D301EF"/>
    <w:rsid w:val="00E1040A"/>
    <w:rsid w:val="00EB5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CC65C3-AB17-47CA-AC1F-47C5CA87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A95"/>
    <w:pPr>
      <w:overflowPunct w:val="0"/>
      <w:autoSpaceDE w:val="0"/>
      <w:autoSpaceDN w:val="0"/>
      <w:adjustRightInd w:val="0"/>
      <w:spacing w:after="180"/>
      <w:textAlignment w:val="baseline"/>
    </w:pPr>
    <w:rPr>
      <w:rFonts w:ascii="Times New Roman" w:eastAsia="SimSun" w:hAnsi="Times New Roman" w:cs="Times New Roman"/>
      <w:sz w:val="21"/>
    </w:rPr>
  </w:style>
  <w:style w:type="paragraph" w:styleId="Heading1">
    <w:name w:val="heading 1"/>
    <w:next w:val="Normal"/>
    <w:link w:val="Heading1Char"/>
    <w:qFormat/>
    <w:rsid w:val="009B6A9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6A95"/>
    <w:rPr>
      <w:rFonts w:ascii="Arial" w:eastAsia="SimSun" w:hAnsi="Arial" w:cs="Times New Roman"/>
      <w:sz w:val="36"/>
      <w:lang w:val="en-GB"/>
    </w:rPr>
  </w:style>
  <w:style w:type="paragraph" w:styleId="Footer">
    <w:name w:val="footer"/>
    <w:basedOn w:val="Header"/>
    <w:link w:val="FooterChar"/>
    <w:rsid w:val="009B6A95"/>
    <w:pPr>
      <w:widowControl w:val="0"/>
      <w:tabs>
        <w:tab w:val="clear" w:pos="4680"/>
        <w:tab w:val="clear" w:pos="9360"/>
      </w:tabs>
      <w:spacing w:after="160" w:line="259" w:lineRule="auto"/>
      <w:jc w:val="center"/>
    </w:pPr>
    <w:rPr>
      <w:rFonts w:ascii="Arial" w:hAnsi="Arial"/>
      <w:b/>
      <w:i/>
      <w:sz w:val="18"/>
    </w:rPr>
  </w:style>
  <w:style w:type="character" w:customStyle="1" w:styleId="FooterChar">
    <w:name w:val="Footer Char"/>
    <w:basedOn w:val="DefaultParagraphFont"/>
    <w:link w:val="Footer"/>
    <w:rsid w:val="009B6A95"/>
    <w:rPr>
      <w:rFonts w:ascii="Arial" w:eastAsia="SimSun" w:hAnsi="Arial" w:cs="Times New Roman"/>
      <w:b/>
      <w:i/>
      <w:sz w:val="18"/>
    </w:rPr>
  </w:style>
  <w:style w:type="character" w:styleId="PageNumber">
    <w:name w:val="page number"/>
    <w:basedOn w:val="DefaultParagraphFont"/>
    <w:rsid w:val="009B6A95"/>
  </w:style>
  <w:style w:type="table" w:styleId="TableGrid">
    <w:name w:val="Table Grid"/>
    <w:basedOn w:val="TableNormal"/>
    <w:rsid w:val="009B6A95"/>
    <w:pPr>
      <w:widowControl w:val="0"/>
      <w:jc w:val="both"/>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B6A95"/>
    <w:pPr>
      <w:autoSpaceDE w:val="0"/>
      <w:autoSpaceDN w:val="0"/>
      <w:adjustRightInd w:val="0"/>
      <w:snapToGrid w:val="0"/>
      <w:spacing w:after="120" w:line="240" w:lineRule="auto"/>
      <w:jc w:val="both"/>
    </w:pPr>
    <w:rPr>
      <w:rFonts w:ascii="Times New Roman" w:eastAsiaTheme="minorEastAsia"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ListParagraph1">
    <w:name w:val="List Paragraph1"/>
    <w:basedOn w:val="Normal"/>
    <w:uiPriority w:val="34"/>
    <w:qFormat/>
    <w:rsid w:val="009B6A95"/>
    <w:pPr>
      <w:overflowPunct/>
      <w:autoSpaceDE/>
      <w:autoSpaceDN/>
      <w:adjustRightInd/>
      <w:spacing w:after="0"/>
      <w:ind w:left="720"/>
      <w:textAlignment w:val="auto"/>
    </w:pPr>
    <w:rPr>
      <w:rFonts w:ascii="Calibri" w:eastAsia="Calibri" w:hAnsi="Calibri"/>
      <w:sz w:val="22"/>
    </w:rPr>
  </w:style>
  <w:style w:type="paragraph" w:customStyle="1" w:styleId="TAH">
    <w:name w:val="TAH"/>
    <w:basedOn w:val="Normal"/>
    <w:qFormat/>
    <w:rsid w:val="009B6A95"/>
    <w:pPr>
      <w:keepNext/>
      <w:keepLines/>
      <w:spacing w:after="0"/>
      <w:jc w:val="center"/>
    </w:pPr>
    <w:rPr>
      <w:rFonts w:ascii="Arial" w:hAnsi="Arial"/>
      <w:b/>
      <w:sz w:val="18"/>
    </w:rPr>
  </w:style>
  <w:style w:type="character" w:customStyle="1" w:styleId="SubtleReference1">
    <w:name w:val="Subtle Reference1"/>
    <w:uiPriority w:val="31"/>
    <w:qFormat/>
    <w:rsid w:val="009B6A95"/>
    <w:rPr>
      <w:lang w:val="en-US"/>
    </w:rPr>
  </w:style>
  <w:style w:type="paragraph" w:styleId="Header">
    <w:name w:val="header"/>
    <w:basedOn w:val="Normal"/>
    <w:link w:val="HeaderChar"/>
    <w:uiPriority w:val="99"/>
    <w:semiHidden/>
    <w:unhideWhenUsed/>
    <w:rsid w:val="009B6A9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B6A95"/>
    <w:rPr>
      <w:rFonts w:ascii="Times New Roman" w:eastAsia="SimSun"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1100</Words>
  <Characters>6275</Characters>
  <Application>Microsoft Office Word</Application>
  <DocSecurity>0</DocSecurity>
  <Lines>52</Lines>
  <Paragraphs>14</Paragraphs>
  <ScaleCrop>false</ScaleCrop>
  <Company/>
  <LinksUpToDate>false</LinksUpToDate>
  <CharactersWithSpaces>7361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 Charan Teja Reddy B</dc:creator>
  <cp:keywords/>
  <dc:description/>
  <cp:lastModifiedBy>Sree Charan Teja Reddy B</cp:lastModifiedBy>
  <cp:revision>21</cp:revision>
  <dcterms:created xsi:type="dcterms:W3CDTF">2017-11-18T10:27:00Z</dcterms:created>
  <dcterms:modified xsi:type="dcterms:W3CDTF">2017-11-20T04:39:00Z</dcterms:modified>
</cp:coreProperties>
</file>